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B82A" w14:textId="77777777" w:rsidR="0066666E" w:rsidRDefault="0066666E" w:rsidP="0066666E">
      <w:pPr>
        <w:pStyle w:val="ECEbordure"/>
        <w:jc w:val="center"/>
        <w:rPr>
          <w:b/>
          <w:sz w:val="24"/>
          <w:szCs w:val="24"/>
        </w:rPr>
      </w:pPr>
      <w:bookmarkStart w:id="0" w:name="_Toc499024982"/>
      <w:bookmarkStart w:id="1" w:name="_Toc499024993"/>
      <w:bookmarkStart w:id="2" w:name="_Toc504549612"/>
      <w:bookmarkStart w:id="3" w:name="_Toc469923078"/>
      <w:bookmarkStart w:id="4" w:name="_Toc379291742"/>
      <w:bookmarkStart w:id="5" w:name="_Toc266361605"/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5348003E" w14:textId="77777777" w:rsidR="0066666E" w:rsidRDefault="0066666E" w:rsidP="0066666E">
      <w:pPr>
        <w:pStyle w:val="ECEbordure"/>
        <w:jc w:val="center"/>
        <w:rPr>
          <w:b/>
          <w:sz w:val="24"/>
          <w:szCs w:val="24"/>
        </w:rPr>
      </w:pPr>
    </w:p>
    <w:p w14:paraId="0C3E3453" w14:textId="77777777" w:rsidR="0066666E" w:rsidRPr="007146B9" w:rsidRDefault="0066666E" w:rsidP="0066666E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96A19E9" w14:textId="77777777" w:rsidR="0066666E" w:rsidRPr="0060508C" w:rsidRDefault="0066666E" w:rsidP="0066666E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670DD9C" w14:textId="77777777" w:rsidR="0066666E" w:rsidRPr="0060508C" w:rsidRDefault="0066666E" w:rsidP="0066666E">
      <w:pPr>
        <w:pStyle w:val="ECEbordure"/>
        <w:jc w:val="center"/>
      </w:pPr>
    </w:p>
    <w:p w14:paraId="32F2549B" w14:textId="77777777" w:rsidR="0066666E" w:rsidRDefault="0066666E" w:rsidP="00113FE7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15A49B39" w14:textId="77777777" w:rsidR="0066666E" w:rsidRDefault="0066666E" w:rsidP="0066666E">
      <w:pPr>
        <w:pStyle w:val="ECEbordu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</w:p>
    <w:p w14:paraId="66E3962C" w14:textId="77777777" w:rsidR="00E26870" w:rsidRPr="00244F93" w:rsidRDefault="00E26870" w:rsidP="005B4FA9">
      <w:pPr>
        <w:pStyle w:val="ECEfiche"/>
        <w:ind w:left="142" w:right="139"/>
        <w:rPr>
          <w:b/>
        </w:rPr>
      </w:pPr>
      <w:r w:rsidRPr="00E26870">
        <w:t>ÉNONCÉ DESTINÉ AU CANDIDAT</w:t>
      </w:r>
      <w:bookmarkEnd w:id="0"/>
      <w:bookmarkEnd w:id="1"/>
      <w:bookmarkEnd w:id="2"/>
    </w:p>
    <w:p w14:paraId="4405063A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0E958A4B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CBCA9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C6E4DDA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AD6F59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47F3A614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71486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510B11C6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5C28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69373796" w14:textId="77777777" w:rsidR="00E26870" w:rsidRDefault="00E26870" w:rsidP="00E26870">
      <w:pPr>
        <w:pStyle w:val="ECEcorps"/>
      </w:pPr>
    </w:p>
    <w:p w14:paraId="065C6C08" w14:textId="77777777" w:rsidR="00E26870" w:rsidRDefault="00331D97" w:rsidP="00E26870">
      <w:pPr>
        <w:pStyle w:val="ECEbordure"/>
      </w:pPr>
      <w:r>
        <w:t>Cette situation d’évaluation</w:t>
      </w:r>
      <w:r w:rsidR="00E26870">
        <w:t xml:space="preserve"> </w:t>
      </w:r>
      <w:r w:rsidR="00E26870" w:rsidRPr="00966915">
        <w:t xml:space="preserve">comporte </w:t>
      </w:r>
      <w:r w:rsidR="00AD5C4C">
        <w:rPr>
          <w:b/>
        </w:rPr>
        <w:t>quatre</w:t>
      </w:r>
      <w:r w:rsidR="00E26870" w:rsidRPr="00581077">
        <w:rPr>
          <w:b/>
        </w:rPr>
        <w:t xml:space="preserve"> </w:t>
      </w:r>
      <w:r w:rsidR="00C2065A">
        <w:t xml:space="preserve">pages </w:t>
      </w:r>
      <w:r w:rsidR="00E26870" w:rsidRPr="00C17957">
        <w:t>sur lesquelles le candidat doit consigner ses réponses.</w:t>
      </w:r>
    </w:p>
    <w:p w14:paraId="22A93005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4FA403BC" w14:textId="77777777" w:rsidR="00E26870" w:rsidRDefault="00E26870" w:rsidP="00E26870">
      <w:pPr>
        <w:pStyle w:val="ECEbordure"/>
      </w:pPr>
    </w:p>
    <w:p w14:paraId="62302DEB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6D5E7C6A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CD7EBDD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28052C7" w14:textId="77777777" w:rsidR="00DE086F" w:rsidRDefault="00DE086F" w:rsidP="00DE086F">
      <w:pPr>
        <w:pStyle w:val="ECEbordure"/>
      </w:pPr>
      <w:r>
        <w:t xml:space="preserve">L’usage de </w:t>
      </w:r>
      <w:r w:rsidR="00A6273E">
        <w:t xml:space="preserve">la </w:t>
      </w:r>
      <w:r>
        <w:t xml:space="preserve">calculatrice avec mode examen actif est autorisé. L’usage de calculatrice sans mémoire « type collège » est autorisé. </w:t>
      </w:r>
    </w:p>
    <w:p w14:paraId="6FF47FCC" w14:textId="77777777" w:rsidR="00E26870" w:rsidRPr="00F2218C" w:rsidRDefault="00E26870" w:rsidP="00E26870">
      <w:pPr>
        <w:pStyle w:val="ECEcorps"/>
      </w:pPr>
    </w:p>
    <w:p w14:paraId="11D79758" w14:textId="77777777" w:rsidR="00113FE7" w:rsidRDefault="00113FE7" w:rsidP="00E26870">
      <w:pPr>
        <w:pStyle w:val="ECEtitre"/>
        <w:rPr>
          <w:sz w:val="24"/>
          <w:szCs w:val="24"/>
        </w:rPr>
      </w:pPr>
    </w:p>
    <w:p w14:paraId="16D5C38B" w14:textId="77777777" w:rsidR="00E26870" w:rsidRPr="00A6273E" w:rsidRDefault="00E26870" w:rsidP="00E26870">
      <w:pPr>
        <w:pStyle w:val="ECEtitre"/>
        <w:rPr>
          <w:sz w:val="24"/>
          <w:szCs w:val="24"/>
        </w:rPr>
      </w:pPr>
      <w:r w:rsidRPr="00A6273E">
        <w:rPr>
          <w:sz w:val="24"/>
          <w:szCs w:val="24"/>
        </w:rPr>
        <w:t>CONTEXTE D</w:t>
      </w:r>
      <w:r w:rsidR="00A6273E" w:rsidRPr="00A6273E">
        <w:rPr>
          <w:sz w:val="24"/>
          <w:szCs w:val="24"/>
        </w:rPr>
        <w:t xml:space="preserve">E LA SITUATION D'EVALUATION </w:t>
      </w:r>
    </w:p>
    <w:p w14:paraId="21BB644B" w14:textId="77777777" w:rsidR="007A77C1" w:rsidRDefault="007A77C1" w:rsidP="00E26870">
      <w:pPr>
        <w:pStyle w:val="ECEcorps"/>
      </w:pPr>
    </w:p>
    <w:p w14:paraId="2D035EF3" w14:textId="77777777" w:rsidR="00C52151" w:rsidRDefault="007A77C1" w:rsidP="005B4FA9">
      <w:pPr>
        <w:pStyle w:val="ECEcorps"/>
        <w:ind w:right="-2"/>
      </w:pPr>
      <w:r w:rsidRPr="008B2C9C">
        <w:t>Un</w:t>
      </w:r>
      <w:r w:rsidR="00FF2311">
        <w:t>e personne</w:t>
      </w:r>
      <w:r w:rsidRPr="008B2C9C">
        <w:t xml:space="preserve"> retrouve dans </w:t>
      </w:r>
      <w:r w:rsidR="00DF780A">
        <w:t>son</w:t>
      </w:r>
      <w:r w:rsidR="00FF2311">
        <w:t xml:space="preserve"> </w:t>
      </w:r>
      <w:r w:rsidR="00DF780A">
        <w:t>armoire</w:t>
      </w:r>
      <w:r w:rsidR="00FF2311">
        <w:t xml:space="preserve"> à </w:t>
      </w:r>
      <w:r w:rsidR="00A063A8">
        <w:t xml:space="preserve">pharmacie, un </w:t>
      </w:r>
      <w:r w:rsidR="00FF2311">
        <w:t>flacon</w:t>
      </w:r>
      <w:r w:rsidR="00A063A8">
        <w:t xml:space="preserve"> de Bétadine</w:t>
      </w:r>
      <w:r w:rsidR="00A063A8">
        <w:rPr>
          <w:vertAlign w:val="superscript"/>
        </w:rPr>
        <w:t>®</w:t>
      </w:r>
      <w:r w:rsidR="00FF2311">
        <w:t xml:space="preserve"> dont </w:t>
      </w:r>
      <w:r w:rsidR="005B4FA9">
        <w:t>la date de péremption</w:t>
      </w:r>
      <w:r w:rsidRPr="008B2C9C">
        <w:t xml:space="preserve"> </w:t>
      </w:r>
      <w:r w:rsidR="00FF2311">
        <w:t>est effacée</w:t>
      </w:r>
      <w:r w:rsidRPr="008B2C9C">
        <w:t xml:space="preserve">. </w:t>
      </w:r>
      <w:r w:rsidR="00DF780A">
        <w:t>Elle se pose la question de savoir si c</w:t>
      </w:r>
      <w:r w:rsidR="008779E1">
        <w:t>e flacon contient</w:t>
      </w:r>
      <w:r w:rsidR="00C52151">
        <w:t xml:space="preserve"> encore suffisamment de substance active pour rempl</w:t>
      </w:r>
      <w:r w:rsidR="00DF780A">
        <w:t>ir ses fonctions antiseptiques.</w:t>
      </w:r>
    </w:p>
    <w:p w14:paraId="755E519D" w14:textId="77777777" w:rsidR="008A5979" w:rsidRDefault="003B130A" w:rsidP="005B4FA9">
      <w:pPr>
        <w:pStyle w:val="ECEcorps"/>
        <w:ind w:right="-2"/>
      </w:pPr>
      <w:r>
        <w:t>La B</w:t>
      </w:r>
      <w:r w:rsidR="008A5979">
        <w:t>étadine</w:t>
      </w:r>
      <w:r>
        <w:rPr>
          <w:vertAlign w:val="superscript"/>
        </w:rPr>
        <w:t>®</w:t>
      </w:r>
      <w:r w:rsidR="008A5979">
        <w:t xml:space="preserve"> est un antiseptique dermatologique. Son principe </w:t>
      </w:r>
      <w:r w:rsidR="008779E1">
        <w:t>a</w:t>
      </w:r>
      <w:r w:rsidR="008A5979">
        <w:t>ctif est le diiode I</w:t>
      </w:r>
      <w:r w:rsidR="008A5979" w:rsidRPr="00E14A11">
        <w:rPr>
          <w:vertAlign w:val="subscript"/>
        </w:rPr>
        <w:t>2</w:t>
      </w:r>
      <w:r w:rsidR="008A5979">
        <w:t xml:space="preserve"> qui élimine les micro-organismes ou inactive les virus par son action oxydante. Le diiode est une espèce colorée, de couleur jaune/brun. </w:t>
      </w:r>
    </w:p>
    <w:p w14:paraId="3E6DDCDC" w14:textId="77777777" w:rsidR="0016308D" w:rsidRDefault="0016308D" w:rsidP="00E26870">
      <w:pPr>
        <w:pStyle w:val="ECEcorps"/>
      </w:pPr>
    </w:p>
    <w:p w14:paraId="17BEC242" w14:textId="77777777" w:rsidR="007A77C1" w:rsidRDefault="007A77C1" w:rsidP="007A77C1">
      <w:pPr>
        <w:pStyle w:val="ECEcorps"/>
        <w:rPr>
          <w:b/>
          <w:i/>
          <w:sz w:val="24"/>
          <w:szCs w:val="24"/>
        </w:rPr>
      </w:pPr>
      <w:r w:rsidRPr="007A77C1">
        <w:rPr>
          <w:b/>
          <w:i/>
          <w:sz w:val="24"/>
          <w:szCs w:val="24"/>
        </w:rPr>
        <w:t>Le but de cette épreuve est de contrôler la qualité d'une solution</w:t>
      </w:r>
      <w:r w:rsidR="00A063A8">
        <w:rPr>
          <w:b/>
          <w:i/>
          <w:sz w:val="24"/>
          <w:szCs w:val="24"/>
        </w:rPr>
        <w:t xml:space="preserve"> de B</w:t>
      </w:r>
      <w:r w:rsidRPr="007A77C1">
        <w:rPr>
          <w:b/>
          <w:i/>
          <w:sz w:val="24"/>
          <w:szCs w:val="24"/>
        </w:rPr>
        <w:t>étadine</w:t>
      </w:r>
      <w:r w:rsidR="00691B8A">
        <w:rPr>
          <w:b/>
          <w:i/>
          <w:sz w:val="24"/>
          <w:szCs w:val="24"/>
          <w:vertAlign w:val="superscript"/>
        </w:rPr>
        <w:t>®</w:t>
      </w:r>
      <w:r w:rsidRPr="007A77C1">
        <w:rPr>
          <w:b/>
          <w:i/>
          <w:sz w:val="24"/>
          <w:szCs w:val="24"/>
        </w:rPr>
        <w:t xml:space="preserve">, </w:t>
      </w:r>
      <w:r w:rsidR="005B4FA9">
        <w:rPr>
          <w:b/>
          <w:i/>
          <w:sz w:val="24"/>
          <w:szCs w:val="24"/>
        </w:rPr>
        <w:t>en utilisant</w:t>
      </w:r>
      <w:r w:rsidRPr="007A77C1">
        <w:rPr>
          <w:b/>
          <w:i/>
          <w:sz w:val="24"/>
          <w:szCs w:val="24"/>
        </w:rPr>
        <w:t xml:space="preserve"> une méthode de dosage par étalonnage.</w:t>
      </w:r>
    </w:p>
    <w:p w14:paraId="0C2F2BC1" w14:textId="77777777" w:rsidR="00A6273E" w:rsidRDefault="00A6273E" w:rsidP="007A77C1">
      <w:pPr>
        <w:pStyle w:val="ECEcorps"/>
        <w:rPr>
          <w:b/>
          <w:i/>
          <w:sz w:val="24"/>
          <w:szCs w:val="24"/>
        </w:rPr>
      </w:pPr>
    </w:p>
    <w:p w14:paraId="08AE536C" w14:textId="77777777" w:rsidR="00113FE7" w:rsidRDefault="00113FE7" w:rsidP="007A77C1">
      <w:pPr>
        <w:pStyle w:val="ECEcorps"/>
        <w:rPr>
          <w:b/>
          <w:i/>
          <w:sz w:val="24"/>
          <w:szCs w:val="24"/>
        </w:rPr>
      </w:pPr>
    </w:p>
    <w:p w14:paraId="22C31494" w14:textId="1CF182CE" w:rsidR="00E26870" w:rsidRDefault="0066666E" w:rsidP="00C227F1">
      <w:pPr>
        <w:pStyle w:val="ECEtitre"/>
        <w:spacing w:after="120"/>
        <w:rPr>
          <w:sz w:val="24"/>
        </w:rPr>
      </w:pPr>
      <w:r>
        <w:rPr>
          <w:sz w:val="24"/>
        </w:rPr>
        <w:t>INFORMATIONS</w:t>
      </w:r>
      <w:r w:rsidR="00E26870" w:rsidRPr="00A6273E">
        <w:rPr>
          <w:sz w:val="24"/>
        </w:rPr>
        <w:t xml:space="preserve"> MIS</w:t>
      </w:r>
      <w:r w:rsidR="00DD53EA">
        <w:rPr>
          <w:sz w:val="24"/>
        </w:rPr>
        <w:t>ES</w:t>
      </w:r>
      <w:r w:rsidR="00E26870" w:rsidRPr="00A6273E">
        <w:rPr>
          <w:sz w:val="24"/>
        </w:rPr>
        <w:t xml:space="preserve"> </w:t>
      </w:r>
      <w:r w:rsidR="008779E1" w:rsidRPr="00A6273E">
        <w:rPr>
          <w:sz w:val="24"/>
        </w:rPr>
        <w:t>À</w:t>
      </w:r>
      <w:r w:rsidR="00E26870" w:rsidRPr="00A6273E">
        <w:rPr>
          <w:sz w:val="24"/>
        </w:rPr>
        <w:t xml:space="preserve"> DISPOSITION DU CANDIDAT</w:t>
      </w:r>
      <w:r w:rsidR="00A6273E">
        <w:rPr>
          <w:sz w:val="24"/>
          <w:u w:val="none"/>
        </w:rPr>
        <w:t xml:space="preserve"> </w:t>
      </w:r>
      <w:r w:rsidR="00A6273E">
        <w:rPr>
          <w:sz w:val="24"/>
        </w:rPr>
        <w:t xml:space="preserve"> </w:t>
      </w:r>
    </w:p>
    <w:p w14:paraId="30F92A0A" w14:textId="77777777" w:rsidR="00A6273E" w:rsidRDefault="00A6273E" w:rsidP="00A6273E">
      <w:pPr>
        <w:pStyle w:val="ECEcorps"/>
      </w:pPr>
    </w:p>
    <w:p w14:paraId="61CE84EB" w14:textId="151B981C" w:rsidR="00286B3E" w:rsidRPr="00A6273E" w:rsidRDefault="00286B3E" w:rsidP="00286B3E">
      <w:pPr>
        <w:pStyle w:val="ECEtitre"/>
        <w:rPr>
          <w:sz w:val="24"/>
          <w:u w:val="none"/>
        </w:rPr>
      </w:pPr>
      <w:r w:rsidRPr="00A6273E">
        <w:rPr>
          <w:sz w:val="24"/>
        </w:rPr>
        <w:t>Étiquette d’une solution de Bétadine®</w:t>
      </w:r>
      <w:r w:rsidR="00A80AF6">
        <w:rPr>
          <w:sz w:val="24"/>
          <w:u w:val="none"/>
        </w:rPr>
        <w:t> </w:t>
      </w:r>
    </w:p>
    <w:p w14:paraId="4ACE098E" w14:textId="77777777" w:rsidR="00286B3E" w:rsidRPr="00113FE7" w:rsidRDefault="00286B3E" w:rsidP="00286B3E">
      <w:pPr>
        <w:pStyle w:val="ECEcorps"/>
        <w:rPr>
          <w:sz w:val="10"/>
          <w:szCs w:val="10"/>
        </w:rPr>
      </w:pPr>
    </w:p>
    <w:p w14:paraId="5D5172C9" w14:textId="77777777" w:rsidR="00286B3E" w:rsidRPr="00113FE7" w:rsidRDefault="00286B3E" w:rsidP="00286B3E">
      <w:pPr>
        <w:pStyle w:val="ECEcorps"/>
      </w:pPr>
      <w:r w:rsidRPr="00113FE7">
        <w:rPr>
          <w:u w:val="single"/>
        </w:rPr>
        <w:t>Substance active</w:t>
      </w:r>
      <w:r w:rsidRPr="00113FE7">
        <w:t> : diiode à 10% en masse</w:t>
      </w:r>
    </w:p>
    <w:p w14:paraId="18AD7FEF" w14:textId="77777777" w:rsidR="00286B3E" w:rsidRPr="00B25373" w:rsidRDefault="00286B3E" w:rsidP="00286B3E">
      <w:pPr>
        <w:pStyle w:val="ECEcorps"/>
        <w:rPr>
          <w:sz w:val="8"/>
          <w:szCs w:val="8"/>
        </w:rPr>
      </w:pPr>
    </w:p>
    <w:p w14:paraId="5311B16A" w14:textId="77777777" w:rsidR="00286B3E" w:rsidRDefault="00286B3E" w:rsidP="00286B3E">
      <w:pPr>
        <w:pStyle w:val="ECEcorps"/>
      </w:pPr>
      <w:r w:rsidRPr="00B25373">
        <w:rPr>
          <w:u w:val="single"/>
        </w:rPr>
        <w:t>Excipients</w:t>
      </w:r>
      <w:r>
        <w:rPr>
          <w:b/>
        </w:rPr>
        <w:t xml:space="preserve"> : </w:t>
      </w:r>
      <w:r>
        <w:t xml:space="preserve">glycérol, </w:t>
      </w:r>
      <w:r w:rsidRPr="00B25373">
        <w:t>macrogoléther laurique, phosphate disodique dihydraté, acide citrique monohydraté, hydroxyde de sodium, eau purifiée</w:t>
      </w:r>
    </w:p>
    <w:p w14:paraId="68D0152F" w14:textId="77777777" w:rsidR="00286B3E" w:rsidRPr="00B25373" w:rsidRDefault="00286B3E" w:rsidP="00286B3E">
      <w:pPr>
        <w:pStyle w:val="ECEcorps"/>
        <w:rPr>
          <w:b/>
          <w:sz w:val="8"/>
          <w:szCs w:val="8"/>
        </w:rPr>
      </w:pPr>
    </w:p>
    <w:p w14:paraId="11C99893" w14:textId="77777777" w:rsidR="00286B3E" w:rsidRPr="00E14A11" w:rsidRDefault="00286B3E" w:rsidP="00286B3E">
      <w:pPr>
        <w:pStyle w:val="ECEcorps"/>
        <w:rPr>
          <w:b/>
        </w:rPr>
      </w:pPr>
      <w:r w:rsidRPr="00B25373">
        <w:rPr>
          <w:u w:val="single"/>
        </w:rPr>
        <w:t>Densité</w:t>
      </w:r>
      <w:r>
        <w:t xml:space="preserve"> : </w:t>
      </w:r>
      <w:r w:rsidRPr="00D9507F">
        <w:rPr>
          <w:i/>
        </w:rPr>
        <w:t>d</w:t>
      </w:r>
      <w:r>
        <w:t xml:space="preserve"> = 1,01</w:t>
      </w:r>
    </w:p>
    <w:p w14:paraId="7DEEF379" w14:textId="77777777" w:rsidR="00A6273E" w:rsidRDefault="00A6273E" w:rsidP="00A6273E">
      <w:pPr>
        <w:pStyle w:val="ECEcorps"/>
      </w:pPr>
    </w:p>
    <w:p w14:paraId="52FF7260" w14:textId="0499549E" w:rsidR="00113FE7" w:rsidRDefault="00396529" w:rsidP="00113FE7">
      <w:pPr>
        <w:pStyle w:val="ECEtitre"/>
        <w:rPr>
          <w:sz w:val="24"/>
          <w:u w:val="none"/>
        </w:rPr>
      </w:pPr>
      <w:r>
        <w:rPr>
          <w:noProof/>
        </w:rPr>
        <w:pict w14:anchorId="2BA9DFC1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9" type="#_x0000_t202" style="position:absolute;left:0;text-align:left;margin-left:168.05pt;margin-top:2.45pt;width:329.85pt;height:86.15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14:paraId="3820525F" w14:textId="6A727481" w:rsidR="00113FE7" w:rsidRDefault="00113FE7" w:rsidP="00113FE7">
                  <w:pPr>
                    <w:pStyle w:val="ECEcorps"/>
                  </w:pPr>
                  <w:r w:rsidRPr="009F2724">
                    <w:t xml:space="preserve">Avec </w:t>
                  </w:r>
                  <w:r>
                    <w:tab/>
                  </w:r>
                  <w:r>
                    <w:rPr>
                      <w:i/>
                    </w:rPr>
                    <w:t>p</w:t>
                  </w:r>
                  <w:r w:rsidRPr="00466671">
                    <w:t>(I</w:t>
                  </w:r>
                  <w:r w:rsidRPr="00466671">
                    <w:rPr>
                      <w:vertAlign w:val="subscript"/>
                    </w:rPr>
                    <w:t>2</w:t>
                  </w:r>
                  <w:r w:rsidRPr="00466671">
                    <w:t>)</w:t>
                  </w:r>
                  <w:r>
                    <w:t xml:space="preserve"> : pourcentage </w:t>
                  </w:r>
                  <w:r w:rsidR="00BE7B37">
                    <w:t xml:space="preserve">massique </w:t>
                  </w:r>
                  <w:r w:rsidR="002A4E8D">
                    <w:t>en</w:t>
                  </w:r>
                  <w:r>
                    <w:t xml:space="preserve"> diiode de la solution</w:t>
                  </w:r>
                </w:p>
                <w:p w14:paraId="4B04D70F" w14:textId="143F4E6F" w:rsidR="00113FE7" w:rsidRDefault="00113FE7" w:rsidP="00113FE7">
                  <w:pPr>
                    <w:pStyle w:val="ECEcorps"/>
                    <w:ind w:firstLine="709"/>
                  </w:pPr>
                  <w:r w:rsidRPr="00BF4A82">
                    <w:rPr>
                      <w:i/>
                    </w:rPr>
                    <w:t>C</w:t>
                  </w:r>
                  <w:r>
                    <w:t xml:space="preserve"> : concentration </w:t>
                  </w:r>
                  <w:r w:rsidR="002A4E8D">
                    <w:t>en quantité de matière</w:t>
                  </w:r>
                  <w:r w:rsidR="00E94AC5">
                    <w:t xml:space="preserve"> </w:t>
                  </w:r>
                  <w:r>
                    <w:t>en diiode I</w:t>
                  </w:r>
                  <w:r>
                    <w:rPr>
                      <w:vertAlign w:val="subscript"/>
                    </w:rPr>
                    <w:t>2 </w:t>
                  </w:r>
                  <w:r>
                    <w:t>en mol·L</w:t>
                  </w:r>
                  <w:r>
                    <w:rPr>
                      <w:vertAlign w:val="superscript"/>
                    </w:rPr>
                    <w:t>–1</w:t>
                  </w:r>
                </w:p>
                <w:p w14:paraId="13BB3E68" w14:textId="77777777" w:rsidR="00113FE7" w:rsidRDefault="00396529" w:rsidP="00113FE7">
                  <w:pPr>
                    <w:pStyle w:val="ECEcorps"/>
                    <w:ind w:firstLine="709"/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z w:val="22"/>
                            <w:szCs w:val="24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2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sz w:val="22"/>
                                <w:szCs w:val="24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sz w:val="22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oMath>
                  <w:r w:rsidR="00113FE7">
                    <w:t> : masse molaire du diiode en g·mol</w:t>
                  </w:r>
                  <w:r w:rsidR="00113FE7">
                    <w:rPr>
                      <w:vertAlign w:val="superscript"/>
                    </w:rPr>
                    <w:t>–1</w:t>
                  </w:r>
                  <w:r w:rsidR="00113FE7">
                    <w:t xml:space="preserve"> </w:t>
                  </w:r>
                </w:p>
                <w:p w14:paraId="1155DB19" w14:textId="77777777" w:rsidR="00113FE7" w:rsidRDefault="00113FE7" w:rsidP="00113FE7">
                  <w:pPr>
                    <w:pStyle w:val="ECEcorps"/>
                    <w:ind w:firstLine="709"/>
                  </w:pPr>
                  <w:r w:rsidRPr="00BF4A82">
                    <w:rPr>
                      <w:i/>
                    </w:rPr>
                    <w:t>d</w:t>
                  </w:r>
                  <w:r>
                    <w:t> : densité de la solution</w:t>
                  </w:r>
                </w:p>
                <w:p w14:paraId="25C31438" w14:textId="77777777" w:rsidR="00113FE7" w:rsidRDefault="00113FE7" w:rsidP="00113FE7">
                  <w:pPr>
                    <w:pStyle w:val="ECEcorps"/>
                    <w:ind w:firstLine="709"/>
                  </w:pPr>
                  <w:r w:rsidRPr="00396529">
                    <w:t>ρ</w:t>
                  </w:r>
                  <w:r w:rsidRPr="00396529">
                    <w:rPr>
                      <w:vertAlign w:val="subscript"/>
                    </w:rPr>
                    <w:t>eau</w:t>
                  </w:r>
                  <w:r>
                    <w:t> : masse volumique de l’eau en g·L</w:t>
                  </w:r>
                  <w:r>
                    <w:rPr>
                      <w:vertAlign w:val="superscript"/>
                    </w:rPr>
                    <w:t>–1</w:t>
                  </w:r>
                </w:p>
              </w:txbxContent>
            </v:textbox>
            <w10:wrap type="square"/>
          </v:shape>
        </w:pict>
      </w:r>
      <w:r w:rsidR="00113FE7" w:rsidRPr="00A6273E">
        <w:rPr>
          <w:sz w:val="24"/>
        </w:rPr>
        <w:t xml:space="preserve">Pourcentage </w:t>
      </w:r>
      <w:r>
        <w:rPr>
          <w:sz w:val="24"/>
        </w:rPr>
        <w:t xml:space="preserve">en </w:t>
      </w:r>
      <w:r w:rsidR="00113FE7" w:rsidRPr="00A6273E">
        <w:rPr>
          <w:sz w:val="24"/>
        </w:rPr>
        <w:t>mass</w:t>
      </w:r>
      <w:r>
        <w:rPr>
          <w:sz w:val="24"/>
        </w:rPr>
        <w:t>e</w:t>
      </w:r>
      <w:r w:rsidR="00A80AF6">
        <w:rPr>
          <w:sz w:val="24"/>
          <w:u w:val="none"/>
        </w:rPr>
        <w:t xml:space="preserve"> </w:t>
      </w:r>
    </w:p>
    <w:p w14:paraId="2CD3ABD0" w14:textId="77777777" w:rsidR="00113FE7" w:rsidRPr="00113FE7" w:rsidRDefault="00113FE7" w:rsidP="00113FE7">
      <w:pPr>
        <w:pStyle w:val="ECEcorps"/>
      </w:pPr>
    </w:p>
    <w:p w14:paraId="4F73035C" w14:textId="6E3C2179" w:rsidR="00113FE7" w:rsidRPr="00A6273E" w:rsidRDefault="00113FE7" w:rsidP="00113FE7">
      <w:pPr>
        <w:pStyle w:val="ECEcorps"/>
        <w:jc w:val="center"/>
        <w:rPr>
          <w:i/>
          <w:sz w:val="22"/>
          <w:szCs w:val="24"/>
        </w:rPr>
      </w:pPr>
      <m:oMathPara>
        <m:oMath>
          <m:r>
            <m:rPr>
              <m:nor/>
            </m:rPr>
            <w:rPr>
              <w:i/>
              <w:sz w:val="22"/>
              <w:szCs w:val="24"/>
            </w:rPr>
            <m:t>p(</m:t>
          </m:r>
          <m:sSub>
            <m:sSubPr>
              <m:ctrlPr>
                <w:rPr>
                  <w:rFonts w:ascii="Cambria Math" w:hAnsi="Cambria Math"/>
                  <w:sz w:val="22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2"/>
                  <w:szCs w:val="24"/>
                </w:rPr>
                <m:t>I</m:t>
              </m:r>
            </m:e>
            <m:sub>
              <m:r>
                <m:rPr>
                  <m:nor/>
                </m:rPr>
                <w:rPr>
                  <w:sz w:val="22"/>
                  <w:szCs w:val="24"/>
                </w:rPr>
                <m:t>2</m:t>
              </m:r>
            </m:sub>
          </m:sSub>
          <m:r>
            <m:rPr>
              <m:nor/>
            </m:rPr>
            <w:rPr>
              <w:i/>
              <w:sz w:val="22"/>
              <w:szCs w:val="24"/>
            </w:rPr>
            <m:t>)</m:t>
          </m:r>
          <m:r>
            <m:rPr>
              <m:nor/>
            </m:rPr>
            <w:rPr>
              <w:sz w:val="22"/>
              <w:szCs w:val="24"/>
            </w:rPr>
            <m:t xml:space="preserve"> </m:t>
          </m:r>
          <m:r>
            <w:rPr>
              <w:rFonts w:ascii="Cambria Math"/>
              <w:sz w:val="22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4"/>
                </w:rPr>
              </m:ctrlPr>
            </m:fPr>
            <m:num>
              <m:r>
                <m:rPr>
                  <m:nor/>
                </m:rPr>
                <w:rPr>
                  <w:i/>
                  <w:sz w:val="22"/>
                  <w:szCs w:val="24"/>
                </w:rPr>
                <m:t>C·</m:t>
              </m:r>
              <m:r>
                <w:rPr>
                  <w:rFonts w:ascii="Cambria Math"/>
                  <w:sz w:val="22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z w:val="22"/>
                      <w:szCs w:val="24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22"/>
                          <w:szCs w:val="24"/>
                        </w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2"/>
                          <w:szCs w:val="24"/>
                        </w:rPr>
                        <m:t>2</m:t>
                      </m:r>
                    </m:sub>
                  </m:sSub>
                </m:sub>
              </m:sSub>
              <m:r>
                <m:rPr>
                  <m:nor/>
                </m:rPr>
                <w:rPr>
                  <w:sz w:val="22"/>
                  <w:szCs w:val="24"/>
                </w:rPr>
                <m:t>×100</m:t>
              </m:r>
            </m:num>
            <m:den>
              <m:r>
                <m:rPr>
                  <m:nor/>
                </m:rPr>
                <w:rPr>
                  <w:i/>
                  <w:sz w:val="22"/>
                  <w:szCs w:val="24"/>
                </w:rPr>
                <m:t>d</m:t>
              </m:r>
              <m:r>
                <w:rPr>
                  <w:rFonts w:ascii="Cambria Math" w:hAnsi="Cambria Math"/>
                  <w:sz w:val="22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2"/>
                      <w:szCs w:val="24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sz w:val="22"/>
                      <w:szCs w:val="24"/>
                    </w:rPr>
                    <m:t>eau</m:t>
                  </m:r>
                </m:sub>
              </m:sSub>
            </m:den>
          </m:f>
        </m:oMath>
      </m:oMathPara>
    </w:p>
    <w:p w14:paraId="0A54AE20" w14:textId="614AD419" w:rsidR="00286B3E" w:rsidRPr="00A6273E" w:rsidRDefault="00286B3E" w:rsidP="00286B3E">
      <w:pPr>
        <w:pStyle w:val="ECEtitre"/>
        <w:rPr>
          <w:sz w:val="24"/>
        </w:rPr>
      </w:pPr>
      <w:r w:rsidRPr="00A6273E">
        <w:rPr>
          <w:sz w:val="24"/>
        </w:rPr>
        <w:lastRenderedPageBreak/>
        <w:t>Limite de détection – Limite de quantification</w:t>
      </w:r>
      <w:r w:rsidR="00A80AF6">
        <w:rPr>
          <w:sz w:val="24"/>
        </w:rPr>
        <w:t> </w:t>
      </w:r>
    </w:p>
    <w:p w14:paraId="6DA8C2F6" w14:textId="77777777" w:rsidR="00286B3E" w:rsidRDefault="00286B3E" w:rsidP="00286B3E">
      <w:pPr>
        <w:pStyle w:val="ECEcorps"/>
      </w:pPr>
    </w:p>
    <w:p w14:paraId="7E4C4030" w14:textId="46F48ADD" w:rsidR="00286B3E" w:rsidRDefault="00286B3E" w:rsidP="00286B3E">
      <w:r w:rsidRPr="00B50618">
        <w:t>Lorsqu’on réalise une analyse, il peut être intéressant de connaî</w:t>
      </w:r>
      <w:r>
        <w:t>tre la plus petite valeur pour laquelle</w:t>
      </w:r>
      <w:r w:rsidRPr="00B50618">
        <w:t xml:space="preserve"> </w:t>
      </w:r>
      <w:r>
        <w:t>le signal relevé est différent du blanc</w:t>
      </w:r>
      <w:r w:rsidR="00BE7B37">
        <w:t xml:space="preserve"> (ce b</w:t>
      </w:r>
      <w:r w:rsidR="002A4E8D">
        <w:t>l</w:t>
      </w:r>
      <w:r w:rsidR="00BE7B37">
        <w:t>anc étant la valeur résiduelle mesurée en l’absence d’espèce chimique)</w:t>
      </w:r>
      <w:r w:rsidRPr="00B50618">
        <w:t>. Cette caractéristique s’appelle</w:t>
      </w:r>
      <w:r>
        <w:t xml:space="preserve"> </w:t>
      </w:r>
      <w:r w:rsidR="00396529">
        <w:rPr>
          <w:b/>
          <w:bCs/>
        </w:rPr>
        <w:t>« </w:t>
      </w:r>
      <w:r w:rsidR="00396529">
        <w:rPr>
          <w:b/>
          <w:bCs/>
          <w:i/>
        </w:rPr>
        <w:t>limite de Détection »</w:t>
      </w:r>
      <w:r>
        <w:rPr>
          <w:i/>
        </w:rPr>
        <w:t> </w:t>
      </w:r>
      <w:r w:rsidRPr="00B50618">
        <w:t xml:space="preserve">(notée </w:t>
      </w:r>
      <w:r w:rsidRPr="00BE7B37">
        <w:rPr>
          <w:b/>
          <w:bCs/>
        </w:rPr>
        <w:t>LD</w:t>
      </w:r>
      <w:r w:rsidRPr="00B50618">
        <w:t xml:space="preserve">). </w:t>
      </w:r>
    </w:p>
    <w:p w14:paraId="59156D14" w14:textId="77777777" w:rsidR="00BE7B37" w:rsidRPr="00BE7B37" w:rsidRDefault="00BE7B37" w:rsidP="00286B3E">
      <w:pPr>
        <w:rPr>
          <w:sz w:val="8"/>
          <w:szCs w:val="8"/>
        </w:rPr>
      </w:pPr>
    </w:p>
    <w:p w14:paraId="4E477623" w14:textId="6D189EFD" w:rsidR="00286B3E" w:rsidRDefault="00286B3E" w:rsidP="00286B3E">
      <w:pPr>
        <w:rPr>
          <w:i/>
        </w:rPr>
      </w:pPr>
      <w:r w:rsidRPr="002A4E8D">
        <w:rPr>
          <w:bCs/>
          <w:i/>
        </w:rPr>
        <w:t>La</w:t>
      </w:r>
      <w:r w:rsidRPr="004D6017">
        <w:rPr>
          <w:b/>
          <w:i/>
        </w:rPr>
        <w:t xml:space="preserve"> limite de détection </w:t>
      </w:r>
      <w:r w:rsidRPr="004D6017">
        <w:rPr>
          <w:i/>
        </w:rPr>
        <w:t xml:space="preserve">est </w:t>
      </w:r>
      <w:r>
        <w:rPr>
          <w:i/>
        </w:rPr>
        <w:t xml:space="preserve">donc </w:t>
      </w:r>
      <w:r w:rsidRPr="004D6017">
        <w:rPr>
          <w:i/>
        </w:rPr>
        <w:t xml:space="preserve">la plus petite concentration pouvant être détectée </w:t>
      </w:r>
      <w:r w:rsidR="002A4E8D">
        <w:rPr>
          <w:i/>
        </w:rPr>
        <w:t>(</w:t>
      </w:r>
      <w:r w:rsidRPr="004D6017">
        <w:rPr>
          <w:i/>
        </w:rPr>
        <w:t>mais non quantifiée</w:t>
      </w:r>
      <w:r w:rsidR="002A4E8D">
        <w:rPr>
          <w:i/>
        </w:rPr>
        <w:t>)</w:t>
      </w:r>
      <w:r w:rsidRPr="004D6017">
        <w:rPr>
          <w:i/>
        </w:rPr>
        <w:t xml:space="preserve"> dans les conditions expérimentales décrites de la méthode.</w:t>
      </w:r>
    </w:p>
    <w:p w14:paraId="1D2C3F83" w14:textId="77777777" w:rsidR="00BE7B37" w:rsidRDefault="00BE7B37" w:rsidP="00286B3E"/>
    <w:p w14:paraId="3CAFC9DC" w14:textId="01B2EBCB" w:rsidR="00286B3E" w:rsidRDefault="00286B3E" w:rsidP="00286B3E">
      <w:r>
        <w:t xml:space="preserve">À </w:t>
      </w:r>
      <w:r w:rsidRPr="00B50618">
        <w:t xml:space="preserve">partir de </w:t>
      </w:r>
      <w:r>
        <w:rPr>
          <w:color w:val="auto"/>
        </w:rPr>
        <w:t xml:space="preserve">la </w:t>
      </w:r>
      <w:r w:rsidRPr="00BE7B37">
        <w:rPr>
          <w:b/>
          <w:bCs/>
          <w:i/>
          <w:iCs/>
          <w:color w:val="auto"/>
        </w:rPr>
        <w:t>limite de détection</w:t>
      </w:r>
      <w:r>
        <w:rPr>
          <w:color w:val="auto"/>
        </w:rPr>
        <w:t xml:space="preserve"> on est donc sûr</w:t>
      </w:r>
      <w:r w:rsidRPr="008A5979">
        <w:rPr>
          <w:color w:val="auto"/>
        </w:rPr>
        <w:t xml:space="preserve"> de la présence de </w:t>
      </w:r>
      <w:r>
        <w:rPr>
          <w:color w:val="auto"/>
        </w:rPr>
        <w:t xml:space="preserve">l’espèce </w:t>
      </w:r>
      <w:r w:rsidRPr="008A5979">
        <w:rPr>
          <w:color w:val="auto"/>
        </w:rPr>
        <w:t>analysée</w:t>
      </w:r>
      <w:r>
        <w:rPr>
          <w:color w:val="auto"/>
        </w:rPr>
        <w:t xml:space="preserve"> (</w:t>
      </w:r>
      <w:r w:rsidR="005B4FA9">
        <w:rPr>
          <w:color w:val="auto"/>
        </w:rPr>
        <w:t>ou « </w:t>
      </w:r>
      <w:r>
        <w:rPr>
          <w:color w:val="auto"/>
        </w:rPr>
        <w:t>analyte</w:t>
      </w:r>
      <w:r w:rsidR="00BE7B37">
        <w:rPr>
          <w:color w:val="auto"/>
        </w:rPr>
        <w:t xml:space="preserve"> </w:t>
      </w:r>
      <w:r w:rsidR="005B4FA9">
        <w:rPr>
          <w:color w:val="auto"/>
        </w:rPr>
        <w:t>»</w:t>
      </w:r>
      <w:r>
        <w:rPr>
          <w:color w:val="auto"/>
        </w:rPr>
        <w:t>)</w:t>
      </w:r>
      <w:r w:rsidRPr="009452CF">
        <w:rPr>
          <w:color w:val="0070C0"/>
        </w:rPr>
        <w:t>.</w:t>
      </w:r>
      <w:r w:rsidR="00BE7B37">
        <w:rPr>
          <w:color w:val="0070C0"/>
        </w:rPr>
        <w:t xml:space="preserve"> </w:t>
      </w:r>
      <w:r w:rsidR="00BE7B37" w:rsidRPr="00BE7B37">
        <w:rPr>
          <w:color w:val="auto"/>
        </w:rPr>
        <w:t>Et c</w:t>
      </w:r>
      <w:r w:rsidRPr="00B50618">
        <w:t>e n</w:t>
      </w:r>
      <w:r>
        <w:t xml:space="preserve">’est qu’à partir de la </w:t>
      </w:r>
      <w:r w:rsidR="00396529">
        <w:rPr>
          <w:b/>
          <w:bCs/>
        </w:rPr>
        <w:t>« </w:t>
      </w:r>
      <w:r w:rsidR="00396529">
        <w:rPr>
          <w:b/>
          <w:bCs/>
          <w:i/>
        </w:rPr>
        <w:t>Limite de Quantification »</w:t>
      </w:r>
      <w:r>
        <w:t xml:space="preserve"> </w:t>
      </w:r>
      <w:r w:rsidRPr="00B50618">
        <w:t xml:space="preserve">(notée </w:t>
      </w:r>
      <w:r w:rsidRPr="00BE7B37">
        <w:rPr>
          <w:b/>
          <w:bCs/>
        </w:rPr>
        <w:t>LQ</w:t>
      </w:r>
      <w:r w:rsidRPr="00B50618">
        <w:t xml:space="preserve">) que l’on peut </w:t>
      </w:r>
      <w:r>
        <w:t>connaître la concentration de la substance</w:t>
      </w:r>
      <w:r w:rsidRPr="00B50618">
        <w:t xml:space="preserve"> avec une confiance acceptable. </w:t>
      </w:r>
    </w:p>
    <w:p w14:paraId="64B834E9" w14:textId="77777777" w:rsidR="00BE7B37" w:rsidRPr="00BE7B37" w:rsidRDefault="00BE7B37" w:rsidP="00286B3E">
      <w:pPr>
        <w:rPr>
          <w:sz w:val="8"/>
          <w:szCs w:val="8"/>
        </w:rPr>
      </w:pPr>
    </w:p>
    <w:p w14:paraId="3EDFDBEE" w14:textId="70522DA8" w:rsidR="00286B3E" w:rsidRDefault="00286B3E" w:rsidP="00286B3E">
      <w:pPr>
        <w:pStyle w:val="ECEcorps"/>
        <w:rPr>
          <w:i/>
        </w:rPr>
      </w:pPr>
      <w:r w:rsidRPr="002A4E8D">
        <w:rPr>
          <w:bCs/>
          <w:i/>
        </w:rPr>
        <w:t>La</w:t>
      </w:r>
      <w:r w:rsidRPr="004D6017">
        <w:rPr>
          <w:b/>
          <w:i/>
        </w:rPr>
        <w:t xml:space="preserve"> limite de quantification </w:t>
      </w:r>
      <w:r w:rsidRPr="004D6017">
        <w:rPr>
          <w:i/>
        </w:rPr>
        <w:t>est</w:t>
      </w:r>
      <w:r w:rsidR="002A4E8D">
        <w:rPr>
          <w:i/>
        </w:rPr>
        <w:t xml:space="preserve"> donc</w:t>
      </w:r>
      <w:r w:rsidRPr="004D6017">
        <w:rPr>
          <w:i/>
        </w:rPr>
        <w:t xml:space="preserve"> la plus petite concentration po</w:t>
      </w:r>
      <w:r>
        <w:rPr>
          <w:i/>
        </w:rPr>
        <w:t>uvant être quantifiée avec une confiance</w:t>
      </w:r>
      <w:r w:rsidRPr="004D6017">
        <w:rPr>
          <w:i/>
        </w:rPr>
        <w:t xml:space="preserve"> acceptable dans les conditions expérimentales décrites de la méthode.</w:t>
      </w:r>
    </w:p>
    <w:p w14:paraId="2D051F97" w14:textId="77777777" w:rsidR="00286B3E" w:rsidRDefault="00286B3E" w:rsidP="00286B3E">
      <w:pPr>
        <w:pStyle w:val="ECEcorps"/>
        <w:rPr>
          <w:i/>
        </w:rPr>
      </w:pPr>
    </w:p>
    <w:p w14:paraId="3899AD70" w14:textId="77777777" w:rsidR="00286B3E" w:rsidRDefault="00286B3E" w:rsidP="00286B3E">
      <w:pPr>
        <w:pStyle w:val="ECEcorps"/>
        <w:jc w:val="center"/>
        <w:rPr>
          <w:i/>
        </w:rPr>
      </w:pPr>
      <w:r>
        <w:rPr>
          <w:noProof/>
        </w:rPr>
        <w:drawing>
          <wp:inline distT="0" distB="0" distL="0" distR="0" wp14:anchorId="2EF9AD15" wp14:editId="3B71BA6C">
            <wp:extent cx="5074615" cy="14852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212" t="56268" r="33603" b="27506"/>
                    <a:stretch/>
                  </pic:blipFill>
                  <pic:spPr bwMode="auto">
                    <a:xfrm>
                      <a:off x="0" y="0"/>
                      <a:ext cx="5102088" cy="1493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9F6365" w14:textId="77777777" w:rsidR="00483D9B" w:rsidRDefault="00483D9B" w:rsidP="00483D9B">
      <w:pPr>
        <w:pStyle w:val="ECEcorps"/>
      </w:pPr>
    </w:p>
    <w:p w14:paraId="4FB5255B" w14:textId="7D1D68D6" w:rsidR="00286B3E" w:rsidRPr="00A6273E" w:rsidRDefault="00286B3E" w:rsidP="00286B3E">
      <w:pPr>
        <w:pStyle w:val="ECEtitre"/>
        <w:rPr>
          <w:sz w:val="24"/>
          <w:u w:val="none"/>
        </w:rPr>
      </w:pPr>
      <w:r w:rsidRPr="00A6273E">
        <w:rPr>
          <w:sz w:val="24"/>
        </w:rPr>
        <w:t>Domaine de linéarité</w:t>
      </w:r>
      <w:r w:rsidR="00A80AF6">
        <w:rPr>
          <w:sz w:val="24"/>
          <w:u w:val="none"/>
        </w:rPr>
        <w:t> </w:t>
      </w:r>
    </w:p>
    <w:p w14:paraId="73670413" w14:textId="77777777" w:rsidR="00286B3E" w:rsidRPr="00E61462" w:rsidRDefault="00396529" w:rsidP="00286B3E">
      <w:pPr>
        <w:pStyle w:val="ECEcorps"/>
      </w:pPr>
      <w:r>
        <w:rPr>
          <w:noProof/>
        </w:rPr>
        <w:object w:dxaOrig="1440" w:dyaOrig="1440" w14:anchorId="15099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0.05pt;margin-top:8.7pt;width:305.25pt;height:121.5pt;z-index:251660288;mso-position-horizontal-relative:text;mso-position-vertical-relative:text;mso-width-relative:page;mso-height-relative:page">
            <v:imagedata r:id="rId9" o:title=""/>
            <w10:wrap type="square"/>
          </v:shape>
          <o:OLEObject Type="Embed" ProgID="PBrush" ShapeID="_x0000_s1028" DrawAspect="Content" ObjectID="_1762092532" r:id="rId10"/>
        </w:object>
      </w:r>
    </w:p>
    <w:p w14:paraId="52143BF2" w14:textId="77777777" w:rsidR="00286B3E" w:rsidRDefault="00286B3E" w:rsidP="00286B3E">
      <w:pPr>
        <w:pStyle w:val="ECEcorps"/>
      </w:pPr>
      <w:r>
        <w:t>Pour pouvoir appliquer la loi de Beer-Lambert, il faut être dans des conditions où la concentration en espèce à analyser n’est pas trop élevée.</w:t>
      </w:r>
    </w:p>
    <w:p w14:paraId="6D4C943E" w14:textId="77777777" w:rsidR="00286B3E" w:rsidRDefault="00286B3E" w:rsidP="00286B3E">
      <w:pPr>
        <w:pStyle w:val="ECEcorps"/>
        <w:rPr>
          <w:color w:val="0070C0"/>
        </w:rPr>
      </w:pPr>
      <w:r>
        <w:t>On reste alors dans le domaine appelé « domaine de linéarité ».</w:t>
      </w:r>
      <w:r>
        <w:rPr>
          <w:color w:val="0070C0"/>
        </w:rPr>
        <w:t xml:space="preserve"> </w:t>
      </w:r>
    </w:p>
    <w:p w14:paraId="2DE00CDB" w14:textId="0B3F1A09" w:rsidR="00286B3E" w:rsidRPr="00E61462" w:rsidRDefault="00286B3E" w:rsidP="00286B3E">
      <w:pPr>
        <w:pStyle w:val="ECEcorps"/>
      </w:pPr>
      <w:r w:rsidRPr="00E61462">
        <w:t xml:space="preserve">Sur le graphique </w:t>
      </w:r>
      <w:r w:rsidR="006C405B">
        <w:t>ci-contre</w:t>
      </w:r>
      <w:r w:rsidRPr="00E61462">
        <w:t xml:space="preserve"> représentant l’absorbance en fonction de la concentration, le domaine de linéarité est représenté</w:t>
      </w:r>
      <w:r w:rsidR="006C405B">
        <w:t>.</w:t>
      </w:r>
    </w:p>
    <w:p w14:paraId="0759EAA1" w14:textId="77777777" w:rsidR="00A6273E" w:rsidRDefault="00A6273E" w:rsidP="00E26870">
      <w:pPr>
        <w:pStyle w:val="ECEcorps"/>
      </w:pPr>
    </w:p>
    <w:p w14:paraId="1F8AD764" w14:textId="4E65C29E" w:rsidR="00286B3E" w:rsidRPr="00A6273E" w:rsidRDefault="00286B3E" w:rsidP="00286B3E">
      <w:pPr>
        <w:pStyle w:val="ECEtitre"/>
        <w:rPr>
          <w:sz w:val="22"/>
          <w:u w:val="none"/>
        </w:rPr>
      </w:pPr>
      <w:r w:rsidRPr="00A6273E">
        <w:rPr>
          <w:sz w:val="24"/>
        </w:rPr>
        <w:t xml:space="preserve">Données </w:t>
      </w:r>
      <w:r w:rsidR="00A72B32">
        <w:rPr>
          <w:sz w:val="24"/>
        </w:rPr>
        <w:t>util</w:t>
      </w:r>
      <w:r w:rsidRPr="00A6273E">
        <w:rPr>
          <w:sz w:val="24"/>
        </w:rPr>
        <w:t>es</w:t>
      </w:r>
      <w:r w:rsidR="00A80AF6">
        <w:rPr>
          <w:sz w:val="24"/>
          <w:u w:val="none"/>
        </w:rPr>
        <w:t> </w:t>
      </w:r>
    </w:p>
    <w:p w14:paraId="2C75D3F2" w14:textId="77777777" w:rsidR="00286B3E" w:rsidRPr="00E61462" w:rsidRDefault="00286B3E" w:rsidP="00286B3E">
      <w:pPr>
        <w:pStyle w:val="ECEcorps"/>
      </w:pPr>
    </w:p>
    <w:p w14:paraId="3F50C2BB" w14:textId="408A211D" w:rsidR="00286B3E" w:rsidRPr="006C405B" w:rsidRDefault="00286B3E" w:rsidP="00286B3E">
      <w:pPr>
        <w:pStyle w:val="ECEtitre"/>
        <w:rPr>
          <w:b w:val="0"/>
          <w:bCs/>
        </w:rPr>
      </w:pPr>
      <w:r w:rsidRPr="006C405B">
        <w:rPr>
          <w:b w:val="0"/>
          <w:bCs/>
          <w:u w:val="none"/>
        </w:rPr>
        <w:t>Limite de détection, limite de quantification et limite de linéarité dans le cas du diiode</w:t>
      </w:r>
      <w:r w:rsidR="006C405B">
        <w:rPr>
          <w:b w:val="0"/>
          <w:bCs/>
          <w:u w:val="none"/>
        </w:rPr>
        <w:t> :</w:t>
      </w:r>
    </w:p>
    <w:p w14:paraId="184B5548" w14:textId="77777777" w:rsidR="00286B3E" w:rsidRPr="00EB1D93" w:rsidRDefault="00286B3E" w:rsidP="006C405B">
      <w:pPr>
        <w:pStyle w:val="ECEcorps"/>
        <w:numPr>
          <w:ilvl w:val="0"/>
          <w:numId w:val="10"/>
        </w:numPr>
        <w:rPr>
          <w:vertAlign w:val="superscript"/>
        </w:rPr>
      </w:pPr>
      <w:r w:rsidRPr="00EB1D93">
        <w:t>Limite de détection :</w:t>
      </w:r>
      <w:r>
        <w:t xml:space="preserve"> </w:t>
      </w:r>
      <w:r w:rsidRPr="00EB1D93">
        <w:t>1,5</w:t>
      </w:r>
      <w:r>
        <w:t>×</w:t>
      </w:r>
      <w:r w:rsidRPr="00EB1D93">
        <w:t>10</w:t>
      </w:r>
      <w:r w:rsidRPr="00EB1D93">
        <w:rPr>
          <w:vertAlign w:val="superscript"/>
        </w:rPr>
        <w:t>–4</w:t>
      </w:r>
      <w:r>
        <w:t xml:space="preserve"> mol</w:t>
      </w:r>
      <w:r w:rsidR="00462579">
        <w:t>·</w:t>
      </w:r>
      <w:r>
        <w:t>L</w:t>
      </w:r>
      <w:r>
        <w:rPr>
          <w:vertAlign w:val="superscript"/>
        </w:rPr>
        <w:t>–1</w:t>
      </w:r>
    </w:p>
    <w:p w14:paraId="1D135A5D" w14:textId="77777777" w:rsidR="00286B3E" w:rsidRPr="00EB1D93" w:rsidRDefault="00286B3E" w:rsidP="006C405B">
      <w:pPr>
        <w:pStyle w:val="ECEcorps"/>
        <w:numPr>
          <w:ilvl w:val="0"/>
          <w:numId w:val="10"/>
        </w:numPr>
        <w:rPr>
          <w:vertAlign w:val="superscript"/>
        </w:rPr>
      </w:pPr>
      <w:r w:rsidRPr="00EB1D93">
        <w:t>Limite de quantification :</w:t>
      </w:r>
      <w:r>
        <w:t xml:space="preserve"> </w:t>
      </w:r>
      <w:r w:rsidRPr="00EB1D93">
        <w:t>4,9</w:t>
      </w:r>
      <w:r>
        <w:t>×</w:t>
      </w:r>
      <w:r w:rsidRPr="00EB1D93">
        <w:t>10</w:t>
      </w:r>
      <w:r>
        <w:rPr>
          <w:vertAlign w:val="superscript"/>
        </w:rPr>
        <w:t>–</w:t>
      </w:r>
      <w:r w:rsidRPr="00EB1D93">
        <w:rPr>
          <w:vertAlign w:val="superscript"/>
        </w:rPr>
        <w:t>4</w:t>
      </w:r>
      <w:r>
        <w:t xml:space="preserve"> mol</w:t>
      </w:r>
      <w:r w:rsidR="00462579">
        <w:t>·</w:t>
      </w:r>
      <w:r>
        <w:t>L</w:t>
      </w:r>
      <w:r>
        <w:rPr>
          <w:vertAlign w:val="superscript"/>
        </w:rPr>
        <w:t>–</w:t>
      </w:r>
      <w:r w:rsidRPr="00EB1D93">
        <w:rPr>
          <w:vertAlign w:val="superscript"/>
        </w:rPr>
        <w:t xml:space="preserve">1 </w:t>
      </w:r>
    </w:p>
    <w:p w14:paraId="0A7E65E6" w14:textId="77777777" w:rsidR="00286B3E" w:rsidRPr="00452D44" w:rsidRDefault="00286B3E" w:rsidP="006C405B">
      <w:pPr>
        <w:pStyle w:val="ECEcorps"/>
        <w:numPr>
          <w:ilvl w:val="0"/>
          <w:numId w:val="10"/>
        </w:numPr>
        <w:rPr>
          <w:vertAlign w:val="superscript"/>
        </w:rPr>
      </w:pPr>
      <w:r w:rsidRPr="00EB1D93">
        <w:t>L</w:t>
      </w:r>
      <w:r>
        <w:t xml:space="preserve">imite du domaine de linéarité : </w:t>
      </w:r>
      <w:r w:rsidRPr="00EB1D93">
        <w:t>5,0</w:t>
      </w:r>
      <w:r>
        <w:t>×</w:t>
      </w:r>
      <w:r w:rsidRPr="00EB1D93">
        <w:t>10</w:t>
      </w:r>
      <w:r>
        <w:rPr>
          <w:vertAlign w:val="superscript"/>
        </w:rPr>
        <w:t>–</w:t>
      </w:r>
      <w:r w:rsidRPr="00EB1D93">
        <w:rPr>
          <w:vertAlign w:val="superscript"/>
        </w:rPr>
        <w:t xml:space="preserve">2 </w:t>
      </w:r>
      <w:r w:rsidRPr="00EB1D93">
        <w:t>mol</w:t>
      </w:r>
      <w:r w:rsidR="00462579">
        <w:t>·</w:t>
      </w:r>
      <w:r w:rsidRPr="00EB1D93">
        <w:t>L</w:t>
      </w:r>
      <w:r>
        <w:rPr>
          <w:vertAlign w:val="superscript"/>
        </w:rPr>
        <w:t>–</w:t>
      </w:r>
      <w:r w:rsidRPr="00EB1D93">
        <w:rPr>
          <w:vertAlign w:val="superscript"/>
        </w:rPr>
        <w:t>1</w:t>
      </w:r>
      <w:r>
        <w:rPr>
          <w:vertAlign w:val="superscript"/>
        </w:rPr>
        <w:t xml:space="preserve"> </w:t>
      </w:r>
    </w:p>
    <w:p w14:paraId="2E17E04E" w14:textId="77777777" w:rsidR="00286B3E" w:rsidRDefault="00286B3E" w:rsidP="00286B3E">
      <w:pPr>
        <w:pStyle w:val="ECEtitre"/>
      </w:pPr>
    </w:p>
    <w:p w14:paraId="6504C934" w14:textId="77777777" w:rsidR="00286B3E" w:rsidRPr="006C405B" w:rsidRDefault="00286B3E" w:rsidP="00286B3E">
      <w:pPr>
        <w:pStyle w:val="ECEtitre"/>
        <w:rPr>
          <w:b w:val="0"/>
          <w:bCs/>
          <w:vertAlign w:val="superscript"/>
        </w:rPr>
      </w:pPr>
      <w:r w:rsidRPr="006C405B">
        <w:rPr>
          <w:b w:val="0"/>
          <w:bCs/>
          <w:u w:val="none"/>
        </w:rPr>
        <w:t xml:space="preserve">Masse molaire : </w:t>
      </w:r>
      <w:r w:rsidRPr="006C405B">
        <w:rPr>
          <w:b w:val="0"/>
          <w:bCs/>
          <w:i/>
          <w:u w:val="none"/>
        </w:rPr>
        <w:t>M</w:t>
      </w:r>
      <w:r w:rsidRPr="006C405B">
        <w:rPr>
          <w:b w:val="0"/>
          <w:bCs/>
          <w:u w:val="none"/>
        </w:rPr>
        <w:t>(I) = 127,0 g</w:t>
      </w:r>
      <w:r w:rsidR="00462579" w:rsidRPr="006C405B">
        <w:rPr>
          <w:b w:val="0"/>
          <w:bCs/>
          <w:u w:val="none"/>
        </w:rPr>
        <w:t>·</w:t>
      </w:r>
      <w:r w:rsidRPr="006C405B">
        <w:rPr>
          <w:b w:val="0"/>
          <w:bCs/>
          <w:u w:val="none"/>
        </w:rPr>
        <w:t>mol</w:t>
      </w:r>
      <w:r w:rsidRPr="006C405B">
        <w:rPr>
          <w:b w:val="0"/>
          <w:bCs/>
          <w:u w:val="none"/>
          <w:vertAlign w:val="superscript"/>
        </w:rPr>
        <w:t>–1</w:t>
      </w:r>
      <w:r w:rsidRPr="006C405B">
        <w:rPr>
          <w:b w:val="0"/>
          <w:bCs/>
          <w:vertAlign w:val="superscript"/>
        </w:rPr>
        <w:t xml:space="preserve"> </w:t>
      </w:r>
    </w:p>
    <w:p w14:paraId="03A7CAED" w14:textId="77777777" w:rsidR="00286B3E" w:rsidRPr="006C405B" w:rsidRDefault="00286B3E" w:rsidP="00286B3E">
      <w:pPr>
        <w:pStyle w:val="ECEcorps"/>
        <w:rPr>
          <w:bCs/>
          <w:vertAlign w:val="superscript"/>
        </w:rPr>
      </w:pPr>
      <w:r w:rsidRPr="006C405B">
        <w:rPr>
          <w:bCs/>
        </w:rPr>
        <w:t xml:space="preserve">Masse volumique de l’eau : </w:t>
      </w:r>
      <w:r w:rsidRPr="00396529">
        <w:rPr>
          <w:bCs/>
        </w:rPr>
        <w:t>ρ</w:t>
      </w:r>
      <w:r w:rsidRPr="00396529">
        <w:rPr>
          <w:bCs/>
          <w:vertAlign w:val="subscript"/>
        </w:rPr>
        <w:t xml:space="preserve">eau </w:t>
      </w:r>
      <w:r w:rsidRPr="006C405B">
        <w:rPr>
          <w:bCs/>
        </w:rPr>
        <w:t>= 1000 g</w:t>
      </w:r>
      <w:r w:rsidR="00462579" w:rsidRPr="006C405B">
        <w:rPr>
          <w:bCs/>
        </w:rPr>
        <w:t>·</w:t>
      </w:r>
      <w:r w:rsidRPr="006C405B">
        <w:rPr>
          <w:bCs/>
        </w:rPr>
        <w:t>L</w:t>
      </w:r>
      <w:r w:rsidRPr="006C405B">
        <w:rPr>
          <w:bCs/>
          <w:vertAlign w:val="superscript"/>
        </w:rPr>
        <w:t xml:space="preserve">–1 </w:t>
      </w:r>
    </w:p>
    <w:p w14:paraId="5720A350" w14:textId="77777777" w:rsidR="00286B3E" w:rsidRDefault="00286B3E" w:rsidP="00286B3E">
      <w:pPr>
        <w:pStyle w:val="ECEcorps"/>
      </w:pPr>
    </w:p>
    <w:p w14:paraId="1A261D44" w14:textId="77777777" w:rsidR="00113FE7" w:rsidRDefault="00113FE7" w:rsidP="00E26870">
      <w:pPr>
        <w:pStyle w:val="ECEtitre"/>
        <w:rPr>
          <w:sz w:val="24"/>
        </w:rPr>
      </w:pPr>
    </w:p>
    <w:p w14:paraId="433D6E14" w14:textId="77777777" w:rsidR="00E26870" w:rsidRPr="00A6273E" w:rsidRDefault="00E26870" w:rsidP="00E26870">
      <w:pPr>
        <w:pStyle w:val="ECEtitre"/>
        <w:rPr>
          <w:sz w:val="24"/>
        </w:rPr>
      </w:pPr>
      <w:r w:rsidRPr="00A6273E">
        <w:rPr>
          <w:sz w:val="24"/>
        </w:rPr>
        <w:t xml:space="preserve">TRAVAIL À EFFECTUER </w:t>
      </w:r>
    </w:p>
    <w:p w14:paraId="26B4CDD5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014932AF" w14:textId="0FB710B0" w:rsidR="00E26870" w:rsidRPr="00452138" w:rsidRDefault="002A4E8D" w:rsidP="00E26870">
      <w:pPr>
        <w:pStyle w:val="ECEpartie"/>
        <w:numPr>
          <w:ilvl w:val="0"/>
          <w:numId w:val="6"/>
        </w:numPr>
      </w:pPr>
      <w:bookmarkStart w:id="6" w:name="_Toc499024983"/>
      <w:bookmarkStart w:id="7" w:name="_Toc499024994"/>
      <w:bookmarkStart w:id="8" w:name="_Toc504549613"/>
      <w:r>
        <w:t>É</w:t>
      </w:r>
      <w:r w:rsidR="00C8638A">
        <w:t>tude de</w:t>
      </w:r>
      <w:r w:rsidR="000F53D9" w:rsidRPr="00033F3F">
        <w:t xml:space="preserve"> la gamme d’étalonnage</w:t>
      </w:r>
      <w:r w:rsidR="00C8638A">
        <w:t xml:space="preserve"> proposée</w:t>
      </w:r>
      <w:r w:rsidR="00E26870" w:rsidRPr="00033F3F">
        <w:t xml:space="preserve"> </w:t>
      </w:r>
      <w:r w:rsidR="00E26870" w:rsidRPr="00327E91">
        <w:rPr>
          <w:b w:val="0"/>
        </w:rPr>
        <w:t>(</w:t>
      </w:r>
      <w:r w:rsidR="00C8638A">
        <w:rPr>
          <w:b w:val="0"/>
        </w:rPr>
        <w:t>2</w:t>
      </w:r>
      <w:r w:rsidR="00E26870" w:rsidRPr="00033F3F">
        <w:rPr>
          <w:b w:val="0"/>
        </w:rPr>
        <w:t>0</w:t>
      </w:r>
      <w:r w:rsidR="00E26870" w:rsidRPr="00E26870">
        <w:rPr>
          <w:b w:val="0"/>
        </w:rPr>
        <w:t xml:space="preserve"> minutes conseillées</w:t>
      </w:r>
      <w:r w:rsidR="00E26870" w:rsidRPr="00327E91">
        <w:rPr>
          <w:b w:val="0"/>
        </w:rPr>
        <w:t>)</w:t>
      </w:r>
      <w:bookmarkEnd w:id="6"/>
      <w:bookmarkEnd w:id="7"/>
      <w:bookmarkEnd w:id="8"/>
    </w:p>
    <w:p w14:paraId="702A0FEE" w14:textId="77777777" w:rsidR="00E26870" w:rsidRPr="00AD5C4C" w:rsidRDefault="00E26870" w:rsidP="00E26870">
      <w:pPr>
        <w:pStyle w:val="ECEcorps"/>
        <w:rPr>
          <w:sz w:val="10"/>
          <w:szCs w:val="10"/>
        </w:rPr>
      </w:pPr>
    </w:p>
    <w:p w14:paraId="0176FF16" w14:textId="2967E174" w:rsidR="00E01829" w:rsidRDefault="00E01829" w:rsidP="00E01829">
      <w:pPr>
        <w:pStyle w:val="ECEcorps"/>
      </w:pPr>
      <w:r w:rsidRPr="00E01829">
        <w:t>Afin</w:t>
      </w:r>
      <w:r>
        <w:t xml:space="preserve"> de réaliser le dosage du diiode dans la Bétadine</w:t>
      </w:r>
      <w:r>
        <w:rPr>
          <w:vertAlign w:val="superscript"/>
        </w:rPr>
        <w:t>®</w:t>
      </w:r>
      <w:r>
        <w:t xml:space="preserve">, il </w:t>
      </w:r>
      <w:r w:rsidR="00AD5C4C">
        <w:t>est nécessaire de</w:t>
      </w:r>
      <w:r>
        <w:t xml:space="preserve"> préparer </w:t>
      </w:r>
      <w:r w:rsidR="00B504AA">
        <w:t>une</w:t>
      </w:r>
      <w:r>
        <w:t xml:space="preserve"> gamme d’ét</w:t>
      </w:r>
      <w:r w:rsidR="00A607A2">
        <w:t>a</w:t>
      </w:r>
      <w:r w:rsidR="00B504AA">
        <w:t>lonnage.</w:t>
      </w:r>
      <w:r w:rsidR="006C405B">
        <w:t xml:space="preserve"> </w:t>
      </w:r>
      <w:r w:rsidR="00EE3A1F" w:rsidRPr="00A607A2">
        <w:t xml:space="preserve">Cinq solutions </w:t>
      </w:r>
      <w:r w:rsidR="002A4E8D">
        <w:t>de même volume (50,0 mL)</w:t>
      </w:r>
      <w:r w:rsidR="00EE3A1F" w:rsidRPr="00A607A2">
        <w:t xml:space="preserve"> </w:t>
      </w:r>
      <w:r w:rsidR="002A4E8D">
        <w:t>sont ainsi</w:t>
      </w:r>
      <w:r w:rsidR="00EE3A1F" w:rsidRPr="00A607A2">
        <w:t xml:space="preserve"> pré</w:t>
      </w:r>
      <w:r w:rsidR="00B504AA">
        <w:t xml:space="preserve">parées </w:t>
      </w:r>
      <w:r w:rsidR="009251C2">
        <w:t>à partir d’</w:t>
      </w:r>
      <w:r w:rsidR="002F3C3C">
        <w:t>une soluti</w:t>
      </w:r>
      <w:r w:rsidR="00396529">
        <w:t>on mère dont la concentration en quantité de matière vau</w:t>
      </w:r>
      <w:r w:rsidR="002F3C3C">
        <w:t xml:space="preserve">t </w:t>
      </w:r>
      <w:r w:rsidR="009251C2" w:rsidRPr="00796B52">
        <w:rPr>
          <w:i/>
        </w:rPr>
        <w:t>C</w:t>
      </w:r>
      <w:r w:rsidR="00327E91" w:rsidRPr="00796B52">
        <w:rPr>
          <w:i/>
          <w:vertAlign w:val="subscript"/>
        </w:rPr>
        <w:t>E</w:t>
      </w:r>
      <w:r w:rsidR="009251C2" w:rsidRPr="00A607A2">
        <w:t xml:space="preserve"> = </w:t>
      </w:r>
      <w:r w:rsidR="009251C2">
        <w:t>8</w:t>
      </w:r>
      <w:r w:rsidR="009251C2" w:rsidRPr="00A607A2">
        <w:t>,00</w:t>
      </w:r>
      <w:r w:rsidR="00AE0217">
        <w:t>×</w:t>
      </w:r>
      <w:r w:rsidR="009251C2" w:rsidRPr="00A607A2">
        <w:t>10</w:t>
      </w:r>
      <w:r w:rsidR="009251C2" w:rsidRPr="00A607A2">
        <w:rPr>
          <w:vertAlign w:val="superscript"/>
        </w:rPr>
        <w:t xml:space="preserve">–2 </w:t>
      </w:r>
      <w:r w:rsidR="009251C2" w:rsidRPr="00A607A2">
        <w:t>mol</w:t>
      </w:r>
      <w:r w:rsidR="00462579">
        <w:t>·</w:t>
      </w:r>
      <w:r w:rsidR="009251C2" w:rsidRPr="00A607A2">
        <w:t>L</w:t>
      </w:r>
      <w:r w:rsidR="00F26D19">
        <w:rPr>
          <w:vertAlign w:val="superscript"/>
        </w:rPr>
        <w:t>–</w:t>
      </w:r>
      <w:r w:rsidR="009251C2">
        <w:rPr>
          <w:vertAlign w:val="superscript"/>
        </w:rPr>
        <w:t>1</w:t>
      </w:r>
      <w:r w:rsidR="009251C2">
        <w:t>.</w:t>
      </w:r>
    </w:p>
    <w:p w14:paraId="4D249F8C" w14:textId="77777777" w:rsidR="00462579" w:rsidRPr="00462579" w:rsidRDefault="00462579" w:rsidP="00E01829">
      <w:pPr>
        <w:pStyle w:val="ECEcorps"/>
        <w:rPr>
          <w:sz w:val="8"/>
          <w:szCs w:val="8"/>
        </w:rPr>
      </w:pPr>
    </w:p>
    <w:p w14:paraId="47886A15" w14:textId="761F2C0B" w:rsidR="0077242D" w:rsidRDefault="00BE7B37" w:rsidP="00BE7B37">
      <w:pPr>
        <w:pStyle w:val="ECErponse"/>
      </w:pPr>
      <w:r>
        <w:lastRenderedPageBreak/>
        <w:t xml:space="preserve">Les concentrations </w:t>
      </w:r>
      <w:r w:rsidR="00396529">
        <w:t xml:space="preserve">en quantité de matière </w:t>
      </w:r>
      <w:r>
        <w:t>des cinq solutions préparées sont regroupées dans le tableau suivant :</w:t>
      </w:r>
    </w:p>
    <w:p w14:paraId="46C3C327" w14:textId="77777777" w:rsidR="002D179B" w:rsidRPr="00AD5C4C" w:rsidRDefault="002D179B" w:rsidP="002D179B">
      <w:pPr>
        <w:pStyle w:val="ECEcorps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10"/>
        <w:gridCol w:w="1369"/>
        <w:gridCol w:w="1370"/>
        <w:gridCol w:w="1370"/>
        <w:gridCol w:w="1370"/>
        <w:gridCol w:w="1370"/>
      </w:tblGrid>
      <w:tr w:rsidR="002D179B" w14:paraId="702739A9" w14:textId="77777777" w:rsidTr="00124191">
        <w:trPr>
          <w:jc w:val="center"/>
        </w:trPr>
        <w:tc>
          <w:tcPr>
            <w:tcW w:w="3510" w:type="dxa"/>
            <w:vAlign w:val="center"/>
          </w:tcPr>
          <w:p w14:paraId="5F228C14" w14:textId="77777777" w:rsidR="002D179B" w:rsidRDefault="002D179B" w:rsidP="00124191">
            <w:pPr>
              <w:pStyle w:val="ECEcorps"/>
            </w:pPr>
            <w:r>
              <w:t>Numéro de la solution</w:t>
            </w:r>
          </w:p>
        </w:tc>
        <w:tc>
          <w:tcPr>
            <w:tcW w:w="1369" w:type="dxa"/>
            <w:vAlign w:val="center"/>
          </w:tcPr>
          <w:p w14:paraId="4B64BE18" w14:textId="77777777" w:rsidR="002D179B" w:rsidRDefault="002D179B" w:rsidP="00124191">
            <w:pPr>
              <w:pStyle w:val="ECEcorps"/>
              <w:jc w:val="center"/>
            </w:pPr>
            <w:r>
              <w:t>1</w:t>
            </w:r>
          </w:p>
        </w:tc>
        <w:tc>
          <w:tcPr>
            <w:tcW w:w="1370" w:type="dxa"/>
            <w:vAlign w:val="center"/>
          </w:tcPr>
          <w:p w14:paraId="72DD8EF5" w14:textId="77777777" w:rsidR="002D179B" w:rsidRDefault="002D179B" w:rsidP="00124191">
            <w:pPr>
              <w:pStyle w:val="ECEcorps"/>
              <w:jc w:val="center"/>
            </w:pPr>
            <w:r>
              <w:t>2</w:t>
            </w:r>
          </w:p>
        </w:tc>
        <w:tc>
          <w:tcPr>
            <w:tcW w:w="1370" w:type="dxa"/>
            <w:vAlign w:val="center"/>
          </w:tcPr>
          <w:p w14:paraId="38C250F4" w14:textId="77777777" w:rsidR="002D179B" w:rsidRDefault="002D179B" w:rsidP="00124191">
            <w:pPr>
              <w:pStyle w:val="ECEcorps"/>
              <w:jc w:val="center"/>
            </w:pPr>
            <w:r>
              <w:t>3</w:t>
            </w:r>
          </w:p>
        </w:tc>
        <w:tc>
          <w:tcPr>
            <w:tcW w:w="1370" w:type="dxa"/>
            <w:vAlign w:val="center"/>
          </w:tcPr>
          <w:p w14:paraId="11A8758A" w14:textId="77777777" w:rsidR="002D179B" w:rsidRDefault="002D179B" w:rsidP="00124191">
            <w:pPr>
              <w:pStyle w:val="ECEcorps"/>
              <w:jc w:val="center"/>
            </w:pPr>
            <w:r>
              <w:t>4</w:t>
            </w:r>
          </w:p>
        </w:tc>
        <w:tc>
          <w:tcPr>
            <w:tcW w:w="1370" w:type="dxa"/>
            <w:vAlign w:val="center"/>
          </w:tcPr>
          <w:p w14:paraId="06B1DAE5" w14:textId="77777777" w:rsidR="002D179B" w:rsidRDefault="002D179B" w:rsidP="00124191">
            <w:pPr>
              <w:pStyle w:val="ECEcorps"/>
              <w:jc w:val="center"/>
            </w:pPr>
            <w:r>
              <w:t>5</w:t>
            </w:r>
          </w:p>
        </w:tc>
      </w:tr>
      <w:tr w:rsidR="002D179B" w14:paraId="2AC5F92C" w14:textId="77777777" w:rsidTr="00124191">
        <w:trPr>
          <w:jc w:val="center"/>
        </w:trPr>
        <w:tc>
          <w:tcPr>
            <w:tcW w:w="3510" w:type="dxa"/>
            <w:vAlign w:val="center"/>
          </w:tcPr>
          <w:p w14:paraId="2BDC0A9F" w14:textId="77777777" w:rsidR="002D179B" w:rsidRPr="00771608" w:rsidRDefault="002D179B" w:rsidP="00AD5C4C">
            <w:pPr>
              <w:pStyle w:val="ECEcorps"/>
            </w:pPr>
            <w:r>
              <w:t>Concentration</w:t>
            </w:r>
            <w:r w:rsidR="00AD5C4C">
              <w:t xml:space="preserve"> envisagée </w:t>
            </w:r>
            <w:r>
              <w:t xml:space="preserve">en diiode </w:t>
            </w:r>
            <w:r w:rsidR="00A653C2">
              <w:t xml:space="preserve">en </w:t>
            </w:r>
            <w:r>
              <w:t>mol</w:t>
            </w:r>
            <w:r w:rsidR="00462579">
              <w:t>·</w:t>
            </w:r>
            <w:r>
              <w:t>L</w:t>
            </w:r>
            <w:r>
              <w:rPr>
                <w:vertAlign w:val="superscript"/>
              </w:rPr>
              <w:t>–1</w:t>
            </w:r>
          </w:p>
        </w:tc>
        <w:tc>
          <w:tcPr>
            <w:tcW w:w="1369" w:type="dxa"/>
            <w:vAlign w:val="center"/>
          </w:tcPr>
          <w:p w14:paraId="339043EA" w14:textId="5EEC4AAE" w:rsidR="002D179B" w:rsidRDefault="00BE7B37" w:rsidP="00124191">
            <w:pPr>
              <w:pStyle w:val="ECEcorps"/>
              <w:jc w:val="center"/>
            </w:pPr>
            <w:r>
              <w:t>8,00×10</w:t>
            </w:r>
            <w:r>
              <w:rPr>
                <w:vertAlign w:val="superscript"/>
              </w:rPr>
              <w:t>–3</w:t>
            </w:r>
            <w:r>
              <w:t xml:space="preserve"> </w:t>
            </w:r>
          </w:p>
        </w:tc>
        <w:tc>
          <w:tcPr>
            <w:tcW w:w="1370" w:type="dxa"/>
            <w:vAlign w:val="center"/>
          </w:tcPr>
          <w:p w14:paraId="408A2CCB" w14:textId="7C7D38F9" w:rsidR="002D179B" w:rsidRDefault="00BE7B37" w:rsidP="00124191">
            <w:pPr>
              <w:pStyle w:val="ECEcorps"/>
              <w:jc w:val="center"/>
            </w:pPr>
            <w:r>
              <w:t>1,60×10</w:t>
            </w:r>
            <w:r>
              <w:rPr>
                <w:vertAlign w:val="superscript"/>
              </w:rPr>
              <w:t>–2</w:t>
            </w:r>
          </w:p>
        </w:tc>
        <w:tc>
          <w:tcPr>
            <w:tcW w:w="1370" w:type="dxa"/>
            <w:vAlign w:val="center"/>
          </w:tcPr>
          <w:p w14:paraId="0FE537D9" w14:textId="07E02877" w:rsidR="002D179B" w:rsidRDefault="00BE7B37" w:rsidP="00124191">
            <w:pPr>
              <w:pStyle w:val="ECEcorps"/>
              <w:jc w:val="center"/>
            </w:pPr>
            <w:r>
              <w:t>2,40×10</w:t>
            </w:r>
            <w:r>
              <w:rPr>
                <w:vertAlign w:val="superscript"/>
              </w:rPr>
              <w:t>–2</w:t>
            </w:r>
          </w:p>
        </w:tc>
        <w:tc>
          <w:tcPr>
            <w:tcW w:w="1370" w:type="dxa"/>
            <w:vAlign w:val="center"/>
          </w:tcPr>
          <w:p w14:paraId="679C39F9" w14:textId="58EB5BAB" w:rsidR="002D179B" w:rsidRDefault="00BE7B37" w:rsidP="00124191">
            <w:pPr>
              <w:pStyle w:val="ECEcorps"/>
              <w:jc w:val="center"/>
            </w:pPr>
            <w:r>
              <w:t>3,20×10</w:t>
            </w:r>
            <w:r>
              <w:rPr>
                <w:vertAlign w:val="superscript"/>
              </w:rPr>
              <w:t>–2</w:t>
            </w:r>
          </w:p>
        </w:tc>
        <w:tc>
          <w:tcPr>
            <w:tcW w:w="1370" w:type="dxa"/>
            <w:vAlign w:val="center"/>
          </w:tcPr>
          <w:p w14:paraId="6F6903DC" w14:textId="32F2E854" w:rsidR="002D179B" w:rsidRDefault="00BE7B37" w:rsidP="00124191">
            <w:pPr>
              <w:pStyle w:val="ECEcorps"/>
              <w:jc w:val="center"/>
            </w:pPr>
            <w:r>
              <w:t>4,00×10</w:t>
            </w:r>
            <w:r>
              <w:rPr>
                <w:vertAlign w:val="superscript"/>
              </w:rPr>
              <w:t>–2</w:t>
            </w:r>
          </w:p>
        </w:tc>
      </w:tr>
    </w:tbl>
    <w:p w14:paraId="3C43551E" w14:textId="77777777" w:rsidR="00BE7B37" w:rsidRDefault="00BE7B37" w:rsidP="00BE7B37">
      <w:pPr>
        <w:pStyle w:val="ECEcorps"/>
      </w:pPr>
    </w:p>
    <w:p w14:paraId="27168E5E" w14:textId="1275E63E" w:rsidR="00BE7B37" w:rsidRDefault="00BE7B37" w:rsidP="00BE7B37">
      <w:pPr>
        <w:pStyle w:val="ECEcorps"/>
      </w:pPr>
      <w:r>
        <w:t xml:space="preserve">Pour </w:t>
      </w:r>
      <w:r w:rsidR="00C8638A">
        <w:t>la solution 2</w:t>
      </w:r>
      <w:r>
        <w:t xml:space="preserve"> indiquer</w:t>
      </w:r>
      <w:r w:rsidR="00C8638A">
        <w:t>, à l’aide du matériel disponible, quelles verreries il faut utiliser pour la préparer.</w:t>
      </w:r>
    </w:p>
    <w:p w14:paraId="07F4D658" w14:textId="54FB0AA9" w:rsidR="0077242D" w:rsidRPr="00341FA8" w:rsidRDefault="0077242D" w:rsidP="0077242D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6FE2673" w14:textId="77777777" w:rsidR="00C8638A" w:rsidRDefault="002D179B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B4CACB6" w14:textId="1FC300B0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78A92BD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3211AED" w14:textId="3D2A1E4E" w:rsidR="00A6273E" w:rsidRDefault="00C8638A" w:rsidP="00C8638A">
      <w:pPr>
        <w:pStyle w:val="ECErponse"/>
      </w:pPr>
      <w:r>
        <w:t xml:space="preserve">Justifier que la gamme d’étalonnage préparée </w:t>
      </w:r>
      <w:r w:rsidRPr="00396529">
        <w:t xml:space="preserve">dépasse la </w:t>
      </w:r>
      <w:r w:rsidRPr="00396529">
        <w:rPr>
          <w:bCs w:val="0"/>
          <w:iCs/>
        </w:rPr>
        <w:t>limite de quantification</w:t>
      </w:r>
      <w:r w:rsidRPr="00396529">
        <w:t xml:space="preserve"> (</w:t>
      </w:r>
      <w:r w:rsidRPr="00396529">
        <w:rPr>
          <w:bCs w:val="0"/>
        </w:rPr>
        <w:t>LQ</w:t>
      </w:r>
      <w:r w:rsidRPr="00396529">
        <w:t xml:space="preserve">) et reste dans le </w:t>
      </w:r>
      <w:r w:rsidRPr="00396529">
        <w:rPr>
          <w:bCs w:val="0"/>
        </w:rPr>
        <w:t>domaine de linéarité</w:t>
      </w:r>
      <w:r w:rsidRPr="00396529">
        <w:t xml:space="preserve"> pour le diiode.</w:t>
      </w:r>
    </w:p>
    <w:p w14:paraId="17CB1EDC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66B9238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7D5664E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C290C1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F15BA55" w14:textId="77777777" w:rsidR="00C8638A" w:rsidRPr="00341FA8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F9A1D54" w14:textId="0664002D" w:rsidR="00C8638A" w:rsidRDefault="00C8638A" w:rsidP="00C8638A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5677E1D" w14:textId="77777777" w:rsidR="00C8638A" w:rsidRPr="00341FA8" w:rsidRDefault="00C8638A" w:rsidP="00C8638A">
      <w:pPr>
        <w:pStyle w:val="ECErponse"/>
      </w:pPr>
    </w:p>
    <w:p w14:paraId="3812E0E0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DDBF15A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749B5A2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C9F3E5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B9E958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2864D85C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9C6ED4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F897FA2" w14:textId="1B42ACF3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</w:t>
            </w:r>
            <w:r w:rsidR="00327E91">
              <w:t xml:space="preserve">ur lui présenter les </w:t>
            </w:r>
            <w:r w:rsidR="002A4E8D">
              <w:t>réponses</w:t>
            </w:r>
          </w:p>
          <w:p w14:paraId="78F21E39" w14:textId="77777777" w:rsidR="00E26870" w:rsidRDefault="00E26870" w:rsidP="00527A98">
            <w:pPr>
              <w:pStyle w:val="ECEappel"/>
              <w:framePr w:wrap="around"/>
            </w:pPr>
            <w:r w:rsidRPr="0009288D">
              <w:t>ou en cas de difficulté</w:t>
            </w:r>
            <w:r w:rsidR="00517DF8">
              <w:t>.</w:t>
            </w:r>
          </w:p>
          <w:p w14:paraId="7B7E6FA2" w14:textId="77777777" w:rsidR="00462579" w:rsidRPr="00462579" w:rsidRDefault="00462579" w:rsidP="00527A98">
            <w:pPr>
              <w:pStyle w:val="ECEappel"/>
              <w:framePr w:wrap="around"/>
              <w:rPr>
                <w:sz w:val="8"/>
                <w:szCs w:val="8"/>
              </w:rPr>
            </w:pPr>
          </w:p>
          <w:p w14:paraId="3C8D8EAA" w14:textId="77777777" w:rsidR="00517DF8" w:rsidRDefault="00517DF8" w:rsidP="00527A98">
            <w:pPr>
              <w:pStyle w:val="ECEappel"/>
              <w:framePr w:wrap="around"/>
              <w:rPr>
                <w:bCs/>
                <w:szCs w:val="22"/>
              </w:rPr>
            </w:pPr>
            <w:r>
              <w:t xml:space="preserve">Lui demander ensuite les solutions filles </w:t>
            </w:r>
            <w:r w:rsidR="00A653C2">
              <w:t>à disposition</w:t>
            </w:r>
            <w:r w:rsidR="00A653C2">
              <w:br/>
              <w:t xml:space="preserve">pour constituer </w:t>
            </w:r>
            <w:r>
              <w:t>la gamme d’étalonnage.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DA6F07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FCCF8F2" w14:textId="77777777" w:rsidR="00286B3E" w:rsidRDefault="00286B3E" w:rsidP="00A6273E">
      <w:pPr>
        <w:spacing w:line="240" w:lineRule="auto"/>
        <w:jc w:val="left"/>
      </w:pPr>
    </w:p>
    <w:p w14:paraId="3577263E" w14:textId="77777777" w:rsidR="00AD5C4C" w:rsidRDefault="00AD5C4C" w:rsidP="00A6273E">
      <w:pPr>
        <w:spacing w:line="240" w:lineRule="auto"/>
        <w:jc w:val="left"/>
      </w:pPr>
    </w:p>
    <w:p w14:paraId="3702F98E" w14:textId="39EC5B10" w:rsidR="00E26870" w:rsidRPr="003C13F9" w:rsidRDefault="00921C9E" w:rsidP="00E26870">
      <w:pPr>
        <w:pStyle w:val="ECEpartie"/>
      </w:pPr>
      <w:bookmarkStart w:id="9" w:name="_Toc499024984"/>
      <w:bookmarkStart w:id="10" w:name="_Toc499024995"/>
      <w:bookmarkStart w:id="11" w:name="_Toc504549614"/>
      <w:r>
        <w:t>Dosage du diiode</w:t>
      </w:r>
      <w:r w:rsidR="00E26870" w:rsidRPr="003C13F9">
        <w:t xml:space="preserve"> </w:t>
      </w:r>
      <w:r w:rsidR="00E26870" w:rsidRPr="00327E91">
        <w:rPr>
          <w:b w:val="0"/>
        </w:rPr>
        <w:t>(</w:t>
      </w:r>
      <w:r w:rsidR="002A4E8D">
        <w:rPr>
          <w:b w:val="0"/>
        </w:rPr>
        <w:t>3</w:t>
      </w:r>
      <w:r w:rsidR="00E26870" w:rsidRPr="0039367C">
        <w:rPr>
          <w:b w:val="0"/>
        </w:rPr>
        <w:t>0 minutes conseillées</w:t>
      </w:r>
      <w:r w:rsidR="00E26870" w:rsidRPr="00327E91">
        <w:rPr>
          <w:b w:val="0"/>
        </w:rPr>
        <w:t>)</w:t>
      </w:r>
      <w:bookmarkEnd w:id="9"/>
      <w:bookmarkEnd w:id="10"/>
      <w:bookmarkEnd w:id="11"/>
    </w:p>
    <w:p w14:paraId="082C9F0C" w14:textId="77777777" w:rsidR="00E26870" w:rsidRDefault="00E26870" w:rsidP="00E26870">
      <w:pPr>
        <w:pStyle w:val="ECEcorps"/>
        <w:rPr>
          <w:rFonts w:eastAsia="Arial Unicode MS"/>
        </w:rPr>
      </w:pPr>
    </w:p>
    <w:p w14:paraId="1102F765" w14:textId="4D1C81FE" w:rsidR="002A4E8D" w:rsidRDefault="002A4E8D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>Faire le blanc à la longueur d’onde de 600 nm.</w:t>
      </w:r>
    </w:p>
    <w:p w14:paraId="6D0DFFD5" w14:textId="77777777" w:rsidR="002A4E8D" w:rsidRDefault="002A4E8D" w:rsidP="00E26870">
      <w:pPr>
        <w:pStyle w:val="ECEcorps"/>
        <w:rPr>
          <w:rFonts w:eastAsia="Arial Unicode MS"/>
        </w:rPr>
      </w:pPr>
    </w:p>
    <w:p w14:paraId="32DE3666" w14:textId="3EF1B846" w:rsidR="000003B4" w:rsidRPr="00396529" w:rsidRDefault="000003B4" w:rsidP="00E26870">
      <w:pPr>
        <w:pStyle w:val="ECEcorps"/>
        <w:rPr>
          <w:rFonts w:eastAsia="Arial Unicode MS"/>
        </w:rPr>
      </w:pPr>
      <w:r w:rsidRPr="000003B4">
        <w:rPr>
          <w:rFonts w:eastAsia="Arial Unicode MS"/>
        </w:rPr>
        <w:t>Mesurer</w:t>
      </w:r>
      <w:r>
        <w:rPr>
          <w:rFonts w:eastAsia="Arial Unicode MS"/>
        </w:rPr>
        <w:t xml:space="preserve"> l’absorbance </w:t>
      </w:r>
      <w:r w:rsidRPr="00396529">
        <w:rPr>
          <w:rFonts w:eastAsia="Arial Unicode MS"/>
        </w:rPr>
        <w:t>de chacune des solutions</w:t>
      </w:r>
      <w:r w:rsidR="00327E91" w:rsidRPr="00396529">
        <w:rPr>
          <w:rFonts w:eastAsia="Arial Unicode MS"/>
        </w:rPr>
        <w:t xml:space="preserve"> filles de la gamme d’étalonnage </w:t>
      </w:r>
      <w:r w:rsidR="001943B4" w:rsidRPr="00396529">
        <w:rPr>
          <w:rFonts w:eastAsia="Arial Unicode MS"/>
        </w:rPr>
        <w:t>fournies</w:t>
      </w:r>
      <w:r w:rsidR="00327E91" w:rsidRPr="00396529">
        <w:rPr>
          <w:rFonts w:eastAsia="Arial Unicode MS"/>
        </w:rPr>
        <w:t xml:space="preserve"> par l’examinateur</w:t>
      </w:r>
      <w:r w:rsidRPr="00396529">
        <w:rPr>
          <w:rFonts w:eastAsia="Arial Unicode MS"/>
        </w:rPr>
        <w:t xml:space="preserve"> à la longueur d’onde de 600 nm</w:t>
      </w:r>
      <w:r w:rsidR="002A4E8D" w:rsidRPr="00396529">
        <w:rPr>
          <w:rFonts w:eastAsia="Arial Unicode MS"/>
        </w:rPr>
        <w:t xml:space="preserve"> et </w:t>
      </w:r>
      <w:r w:rsidR="002A4E8D" w:rsidRPr="00396529">
        <w:t xml:space="preserve">tracer le graphe </w:t>
      </w:r>
      <w:r w:rsidR="002A4E8D" w:rsidRPr="00396529">
        <w:rPr>
          <w:i/>
        </w:rPr>
        <w:t>A</w:t>
      </w:r>
      <w:r w:rsidR="002A4E8D" w:rsidRPr="00396529">
        <w:t xml:space="preserve"> = f(</w:t>
      </w:r>
      <w:r w:rsidR="002A4E8D" w:rsidRPr="00396529">
        <w:rPr>
          <w:i/>
        </w:rPr>
        <w:t>C</w:t>
      </w:r>
      <w:r w:rsidR="002A4E8D" w:rsidRPr="00396529">
        <w:rPr>
          <w:i/>
          <w:vertAlign w:val="subscript"/>
        </w:rPr>
        <w:t>i</w:t>
      </w:r>
      <w:r w:rsidR="002A4E8D" w:rsidRPr="00396529">
        <w:t>).</w:t>
      </w:r>
    </w:p>
    <w:p w14:paraId="11D9B2E3" w14:textId="77777777" w:rsidR="00327E91" w:rsidRPr="00396529" w:rsidRDefault="00327E91" w:rsidP="00E26870">
      <w:pPr>
        <w:pStyle w:val="ECEcorps"/>
        <w:rPr>
          <w:rFonts w:eastAsia="Arial Unicode MS"/>
          <w:sz w:val="10"/>
          <w:szCs w:val="10"/>
        </w:rPr>
      </w:pPr>
    </w:p>
    <w:p w14:paraId="67B05B0C" w14:textId="77777777" w:rsidR="00327E91" w:rsidRPr="00396529" w:rsidRDefault="00517DF8" w:rsidP="00E26870">
      <w:pPr>
        <w:pStyle w:val="ECEcorps"/>
        <w:rPr>
          <w:rFonts w:eastAsia="Arial Unicode MS"/>
        </w:rPr>
      </w:pPr>
      <w:r w:rsidRPr="00396529">
        <w:rPr>
          <w:rFonts w:eastAsia="Arial Unicode MS"/>
        </w:rPr>
        <w:t>Diluer la solution de Bétadine</w:t>
      </w:r>
      <w:r w:rsidR="00327E91" w:rsidRPr="00396529">
        <w:rPr>
          <w:rFonts w:eastAsia="Arial Unicode MS"/>
          <w:vertAlign w:val="superscript"/>
        </w:rPr>
        <w:t>®</w:t>
      </w:r>
      <w:r w:rsidR="00327E91" w:rsidRPr="00396529">
        <w:rPr>
          <w:rFonts w:eastAsia="Arial Unicode MS"/>
        </w:rPr>
        <w:t xml:space="preserve"> commerciale en introduisant </w:t>
      </w:r>
      <w:r w:rsidR="00327E91" w:rsidRPr="00396529">
        <w:rPr>
          <w:rFonts w:eastAsia="Arial Unicode MS"/>
          <w:i/>
        </w:rPr>
        <w:t>V</w:t>
      </w:r>
      <w:r w:rsidR="00327E91" w:rsidRPr="00396529">
        <w:rPr>
          <w:rFonts w:eastAsia="Arial Unicode MS"/>
        </w:rPr>
        <w:t xml:space="preserve"> = 5</w:t>
      </w:r>
      <w:r w:rsidR="007771E9" w:rsidRPr="00396529">
        <w:rPr>
          <w:rFonts w:eastAsia="Arial Unicode MS"/>
        </w:rPr>
        <w:t>,0</w:t>
      </w:r>
      <w:r w:rsidR="00327E91" w:rsidRPr="00396529">
        <w:rPr>
          <w:rFonts w:eastAsia="Arial Unicode MS"/>
        </w:rPr>
        <w:t xml:space="preserve"> </w:t>
      </w:r>
      <w:r w:rsidRPr="00396529">
        <w:rPr>
          <w:rFonts w:eastAsia="Arial Unicode MS"/>
        </w:rPr>
        <w:t>mL de Bétadine</w:t>
      </w:r>
      <w:r w:rsidR="00327E91" w:rsidRPr="00396529">
        <w:rPr>
          <w:rFonts w:eastAsia="Arial Unicode MS"/>
          <w:vertAlign w:val="superscript"/>
        </w:rPr>
        <w:t>®</w:t>
      </w:r>
      <w:r w:rsidR="00327E91" w:rsidRPr="00396529">
        <w:rPr>
          <w:rFonts w:eastAsia="Arial Unicode MS"/>
        </w:rPr>
        <w:t xml:space="preserve"> commerciale dans une fiole de 50</w:t>
      </w:r>
      <w:r w:rsidR="007771E9" w:rsidRPr="00396529">
        <w:rPr>
          <w:rFonts w:eastAsia="Arial Unicode MS"/>
        </w:rPr>
        <w:t>,0</w:t>
      </w:r>
      <w:r w:rsidR="00327E91" w:rsidRPr="00396529">
        <w:rPr>
          <w:rFonts w:eastAsia="Arial Unicode MS"/>
        </w:rPr>
        <w:t xml:space="preserve"> mL. Compléter la fiole avec de l’eau distillée.</w:t>
      </w:r>
    </w:p>
    <w:p w14:paraId="73A1B81E" w14:textId="77777777" w:rsidR="00462579" w:rsidRPr="00396529" w:rsidRDefault="00462579" w:rsidP="00921C9E">
      <w:pPr>
        <w:rPr>
          <w:bCs/>
          <w:sz w:val="8"/>
          <w:szCs w:val="8"/>
        </w:rPr>
      </w:pPr>
    </w:p>
    <w:p w14:paraId="1E215228" w14:textId="7870143D" w:rsidR="00921C9E" w:rsidRPr="00396529" w:rsidRDefault="00A70BC5" w:rsidP="00C8638A">
      <w:pPr>
        <w:rPr>
          <w:bCs/>
        </w:rPr>
      </w:pPr>
      <w:r w:rsidRPr="00396529">
        <w:rPr>
          <w:bCs/>
          <w:u w:val="single"/>
        </w:rPr>
        <w:t>Remarque</w:t>
      </w:r>
      <w:r w:rsidRPr="00396529">
        <w:rPr>
          <w:bCs/>
        </w:rPr>
        <w:t> : P</w:t>
      </w:r>
      <w:r w:rsidR="00921C9E" w:rsidRPr="00396529">
        <w:rPr>
          <w:bCs/>
        </w:rPr>
        <w:t>rendre soin de pipeter très lentement l</w:t>
      </w:r>
      <w:r w:rsidR="00327E91" w:rsidRPr="00396529">
        <w:rPr>
          <w:bCs/>
        </w:rPr>
        <w:t>a solution</w:t>
      </w:r>
      <w:r w:rsidR="00921C9E" w:rsidRPr="00396529">
        <w:rPr>
          <w:bCs/>
        </w:rPr>
        <w:t xml:space="preserve"> contenant la </w:t>
      </w:r>
      <w:r w:rsidR="007771E9" w:rsidRPr="00396529">
        <w:rPr>
          <w:bCs/>
          <w:color w:val="auto"/>
        </w:rPr>
        <w:t>B</w:t>
      </w:r>
      <w:r w:rsidR="00921C9E" w:rsidRPr="00396529">
        <w:rPr>
          <w:bCs/>
        </w:rPr>
        <w:t>étadine</w:t>
      </w:r>
      <w:r w:rsidR="007771E9" w:rsidRPr="00396529">
        <w:rPr>
          <w:bCs/>
          <w:color w:val="auto"/>
          <w:vertAlign w:val="superscript"/>
        </w:rPr>
        <w:t>®</w:t>
      </w:r>
      <w:r w:rsidR="00921C9E" w:rsidRPr="00396529">
        <w:rPr>
          <w:bCs/>
          <w:color w:val="auto"/>
        </w:rPr>
        <w:t xml:space="preserve"> </w:t>
      </w:r>
      <w:r w:rsidR="00921C9E" w:rsidRPr="00396529">
        <w:rPr>
          <w:bCs/>
        </w:rPr>
        <w:t xml:space="preserve">pour éviter la formation d'une mousse due aux </w:t>
      </w:r>
      <w:r w:rsidR="00952DAD" w:rsidRPr="00396529">
        <w:rPr>
          <w:bCs/>
        </w:rPr>
        <w:t xml:space="preserve">tensio-actifs présents </w:t>
      </w:r>
      <w:r w:rsidR="00921C9E" w:rsidRPr="00396529">
        <w:rPr>
          <w:bCs/>
        </w:rPr>
        <w:t>et faire couler très délicatement le long de la paroi de la fiole jaugée.</w:t>
      </w:r>
    </w:p>
    <w:p w14:paraId="7F599AB9" w14:textId="77777777" w:rsidR="00921C9E" w:rsidRPr="00095662" w:rsidRDefault="00921C9E" w:rsidP="00921C9E"/>
    <w:p w14:paraId="2B91B560" w14:textId="77777777" w:rsidR="00517DF8" w:rsidRPr="00517DF8" w:rsidRDefault="00517DF8" w:rsidP="00517DF8">
      <w:pPr>
        <w:rPr>
          <w:color w:val="auto"/>
        </w:rPr>
      </w:pPr>
      <w:r>
        <w:rPr>
          <w:color w:val="auto"/>
        </w:rPr>
        <w:t>Mesurer et noter</w:t>
      </w:r>
      <w:r w:rsidR="00327E91" w:rsidRPr="00070FA6">
        <w:rPr>
          <w:color w:val="auto"/>
        </w:rPr>
        <w:t xml:space="preserve"> l'absorbance de</w:t>
      </w:r>
      <w:r w:rsidR="00921C9E" w:rsidRPr="00070FA6">
        <w:rPr>
          <w:color w:val="auto"/>
        </w:rPr>
        <w:t xml:space="preserve"> </w:t>
      </w:r>
      <w:r w:rsidR="00070FA6" w:rsidRPr="00701124">
        <w:rPr>
          <w:color w:val="auto"/>
        </w:rPr>
        <w:t>la</w:t>
      </w:r>
      <w:r w:rsidR="00070FA6">
        <w:rPr>
          <w:color w:val="auto"/>
        </w:rPr>
        <w:t xml:space="preserve"> solution</w:t>
      </w:r>
      <w:r>
        <w:rPr>
          <w:color w:val="auto"/>
        </w:rPr>
        <w:t xml:space="preserve"> de Bétadine</w:t>
      </w:r>
      <w:r w:rsidR="00796B52" w:rsidRPr="00517DF8">
        <w:rPr>
          <w:color w:val="auto"/>
          <w:vertAlign w:val="superscript"/>
        </w:rPr>
        <w:t>®</w:t>
      </w:r>
      <w:r w:rsidR="00327E91" w:rsidRPr="00070FA6">
        <w:rPr>
          <w:color w:val="auto"/>
        </w:rPr>
        <w:t xml:space="preserve"> diluée</w:t>
      </w:r>
      <w:r>
        <w:rPr>
          <w:color w:val="auto"/>
        </w:rPr>
        <w:t xml:space="preserve"> X : </w:t>
      </w:r>
      <w:r>
        <w:rPr>
          <w:i/>
        </w:rPr>
        <w:t>A</w:t>
      </w:r>
      <w:r>
        <w:rPr>
          <w:i/>
          <w:vertAlign w:val="subscript"/>
        </w:rPr>
        <w:t xml:space="preserve">X </w:t>
      </w:r>
      <w:r>
        <w:rPr>
          <w:vertAlign w:val="subscript"/>
        </w:rPr>
        <w:t xml:space="preserve"> = 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FE7FB9F" w14:textId="77777777" w:rsidR="0021699E" w:rsidRDefault="0021699E" w:rsidP="00921C9E"/>
    <w:p w14:paraId="51ACAAC6" w14:textId="34EB38E0" w:rsidR="00286B3E" w:rsidRDefault="00286B3E" w:rsidP="00286B3E"/>
    <w:tbl>
      <w:tblPr>
        <w:tblStyle w:val="Grilledutableau"/>
        <w:tblpPr w:leftFromText="141" w:rightFromText="141" w:vertAnchor="text" w:tblpY="-2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D5C4C" w14:paraId="73A6EA0A" w14:textId="77777777" w:rsidTr="00AD5C4C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820479E" w14:textId="77777777" w:rsidR="00AD5C4C" w:rsidRDefault="00AD5C4C" w:rsidP="00AD5C4C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968627F" w14:textId="77777777" w:rsidR="00AD5C4C" w:rsidRDefault="00AD5C4C" w:rsidP="00AD5C4C">
            <w:pPr>
              <w:pStyle w:val="ECEappel"/>
              <w:framePr w:hSpace="0" w:wrap="auto" w:vAnchor="margin" w:hAnchor="text" w:xAlign="left" w:yAlign="inline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49783C4" w14:textId="77777777" w:rsidR="00AD5C4C" w:rsidRDefault="00AD5C4C" w:rsidP="00AD5C4C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D5C4C" w14:paraId="553752AA" w14:textId="77777777" w:rsidTr="00AD5C4C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56D7AF1" w14:textId="77777777" w:rsidR="00AD5C4C" w:rsidRPr="00592F79" w:rsidRDefault="00AD5C4C" w:rsidP="00AD5C4C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4124C63" w14:textId="77777777" w:rsidR="00AD5C4C" w:rsidRPr="0009288D" w:rsidRDefault="00AD5C4C" w:rsidP="00AD5C4C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3D094DD4" w14:textId="77777777" w:rsidR="00AD5C4C" w:rsidRDefault="00AD5C4C" w:rsidP="00AD5C4C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8FB8C05" w14:textId="77777777" w:rsidR="00AD5C4C" w:rsidRDefault="00AD5C4C" w:rsidP="00AD5C4C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66B1C19" w14:textId="77777777" w:rsidR="00462579" w:rsidRDefault="00462579" w:rsidP="00286B3E"/>
    <w:p w14:paraId="1621CAD8" w14:textId="77777777" w:rsidR="00AD5C4C" w:rsidRDefault="00AD5C4C" w:rsidP="00286B3E"/>
    <w:p w14:paraId="296F7931" w14:textId="77777777" w:rsidR="00AD5C4C" w:rsidRDefault="00AD5C4C" w:rsidP="00286B3E"/>
    <w:p w14:paraId="34891389" w14:textId="77777777" w:rsidR="00AD5C4C" w:rsidRDefault="00AD5C4C" w:rsidP="00286B3E"/>
    <w:p w14:paraId="09BF343B" w14:textId="77777777" w:rsidR="00AD5C4C" w:rsidRDefault="00AD5C4C" w:rsidP="00286B3E"/>
    <w:p w14:paraId="07437D86" w14:textId="77777777" w:rsidR="00AD5C4C" w:rsidRDefault="00AD5C4C" w:rsidP="00286B3E"/>
    <w:p w14:paraId="43333919" w14:textId="77777777" w:rsidR="00AD5C4C" w:rsidRDefault="00AD5C4C" w:rsidP="00286B3E"/>
    <w:p w14:paraId="1F224F7F" w14:textId="77777777" w:rsidR="00AD5C4C" w:rsidRDefault="00AD5C4C" w:rsidP="00286B3E"/>
    <w:p w14:paraId="025085B2" w14:textId="77777777" w:rsidR="00E26870" w:rsidRPr="003C13F9" w:rsidRDefault="007C6903" w:rsidP="00E26870">
      <w:pPr>
        <w:pStyle w:val="ECEpartie"/>
      </w:pPr>
      <w:bookmarkStart w:id="12" w:name="_Toc499024985"/>
      <w:bookmarkStart w:id="13" w:name="_Toc499024996"/>
      <w:bookmarkStart w:id="14" w:name="_Toc504549615"/>
      <w:r>
        <w:t>Détermination de la concentration en diiode</w:t>
      </w:r>
      <w:r w:rsidR="00E26870" w:rsidRPr="003C13F9">
        <w:t xml:space="preserve"> </w:t>
      </w:r>
      <w:r w:rsidR="00E26870" w:rsidRPr="00F0140F">
        <w:rPr>
          <w:b w:val="0"/>
        </w:rPr>
        <w:t>(</w:t>
      </w:r>
      <w:r w:rsidR="00E26870" w:rsidRPr="00033F3F">
        <w:rPr>
          <w:b w:val="0"/>
        </w:rPr>
        <w:t>10</w:t>
      </w:r>
      <w:r w:rsidR="00E26870" w:rsidRPr="0039367C">
        <w:rPr>
          <w:b w:val="0"/>
        </w:rPr>
        <w:t xml:space="preserve"> minutes conseillées</w:t>
      </w:r>
      <w:r w:rsidR="00E26870" w:rsidRPr="00F0140F">
        <w:rPr>
          <w:b w:val="0"/>
        </w:rPr>
        <w:t>)</w:t>
      </w:r>
      <w:bookmarkEnd w:id="12"/>
      <w:bookmarkEnd w:id="13"/>
      <w:bookmarkEnd w:id="14"/>
    </w:p>
    <w:p w14:paraId="6625A6DF" w14:textId="77777777" w:rsidR="00E26870" w:rsidRPr="00AD5C4C" w:rsidRDefault="00E26870" w:rsidP="00E26870">
      <w:pPr>
        <w:pStyle w:val="ECEcorps"/>
        <w:rPr>
          <w:rFonts w:eastAsia="Arial Unicode MS"/>
          <w:sz w:val="10"/>
          <w:szCs w:val="10"/>
        </w:rPr>
      </w:pPr>
    </w:p>
    <w:p w14:paraId="4D7FB578" w14:textId="77777777" w:rsidR="005318E7" w:rsidRDefault="005318E7" w:rsidP="005318E7">
      <w:r>
        <w:t xml:space="preserve">En exploitant le graphique, </w:t>
      </w:r>
      <w:r w:rsidR="006C0194">
        <w:t xml:space="preserve">déterminer la </w:t>
      </w:r>
      <w:r w:rsidR="001943B4">
        <w:t xml:space="preserve">valeur de la </w:t>
      </w:r>
      <w:r w:rsidR="006C0194">
        <w:t>concentration</w:t>
      </w:r>
      <w:r>
        <w:t xml:space="preserve"> </w:t>
      </w:r>
      <w:r w:rsidRPr="006C0194">
        <w:rPr>
          <w:i/>
        </w:rPr>
        <w:t>C</w:t>
      </w:r>
      <w:r w:rsidRPr="006C0194">
        <w:rPr>
          <w:i/>
          <w:vertAlign w:val="subscript"/>
        </w:rPr>
        <w:t>X</w:t>
      </w:r>
      <w:r>
        <w:t xml:space="preserve"> de la solution de Bétadine</w:t>
      </w:r>
      <w:r w:rsidRPr="00517DF8">
        <w:rPr>
          <w:vertAlign w:val="superscript"/>
        </w:rPr>
        <w:t>®</w:t>
      </w:r>
      <w:r>
        <w:t xml:space="preserve"> diluée.</w:t>
      </w:r>
    </w:p>
    <w:p w14:paraId="3761A21F" w14:textId="77777777" w:rsidR="005318E7" w:rsidRPr="00341FA8" w:rsidRDefault="005318E7" w:rsidP="005318E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7955DD2" w14:textId="77777777" w:rsidR="002D179B" w:rsidRDefault="002D179B" w:rsidP="002D179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83D23F7" w14:textId="77777777" w:rsidR="002D179B" w:rsidRDefault="002D179B" w:rsidP="002D179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C99C366" w14:textId="77777777" w:rsidR="00AD5C4C" w:rsidRDefault="00AD5C4C" w:rsidP="007C6903">
      <w:pPr>
        <w:rPr>
          <w:bCs/>
          <w:color w:val="auto"/>
          <w:szCs w:val="22"/>
        </w:rPr>
      </w:pPr>
    </w:p>
    <w:p w14:paraId="11EA05E3" w14:textId="77777777" w:rsidR="007C6903" w:rsidRDefault="007C6903" w:rsidP="007C6903">
      <w:pPr>
        <w:rPr>
          <w:iCs/>
        </w:rPr>
      </w:pPr>
      <w:r>
        <w:rPr>
          <w:iCs/>
        </w:rPr>
        <w:t>En déduire</w:t>
      </w:r>
      <w:r w:rsidRPr="00095662">
        <w:rPr>
          <w:iCs/>
        </w:rPr>
        <w:t xml:space="preserve"> la </w:t>
      </w:r>
      <w:r w:rsidR="001943B4">
        <w:rPr>
          <w:iCs/>
        </w:rPr>
        <w:t xml:space="preserve">valeur de la </w:t>
      </w:r>
      <w:r w:rsidRPr="00095662">
        <w:rPr>
          <w:iCs/>
        </w:rPr>
        <w:t xml:space="preserve">concentration molaire </w:t>
      </w:r>
      <w:r w:rsidRPr="00095662">
        <w:rPr>
          <w:i/>
          <w:iCs/>
        </w:rPr>
        <w:t>C</w:t>
      </w:r>
      <w:r w:rsidR="00517DF8">
        <w:rPr>
          <w:iCs/>
        </w:rPr>
        <w:t xml:space="preserve"> en diiode </w:t>
      </w:r>
      <w:r w:rsidR="001943B4">
        <w:rPr>
          <w:iCs/>
        </w:rPr>
        <w:t xml:space="preserve">de </w:t>
      </w:r>
      <w:r w:rsidR="00517DF8">
        <w:rPr>
          <w:iCs/>
        </w:rPr>
        <w:t>la solution de B</w:t>
      </w:r>
      <w:r w:rsidRPr="00095662">
        <w:rPr>
          <w:iCs/>
        </w:rPr>
        <w:t>étadine</w:t>
      </w:r>
      <w:r w:rsidR="00517DF8" w:rsidRPr="00517DF8">
        <w:rPr>
          <w:iCs/>
          <w:vertAlign w:val="superscript"/>
        </w:rPr>
        <w:t>®</w:t>
      </w:r>
      <w:r w:rsidRPr="00095662">
        <w:rPr>
          <w:iCs/>
        </w:rPr>
        <w:t xml:space="preserve"> commerciale (S). </w:t>
      </w:r>
    </w:p>
    <w:p w14:paraId="59F0832B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AE5012D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E6B2584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F8B10B2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50C4B0B" w14:textId="77777777" w:rsidR="007C6903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3A79852" w14:textId="77777777" w:rsidR="00A6273E" w:rsidRPr="00341FA8" w:rsidRDefault="00A6273E" w:rsidP="00A6273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F8B6BE4" w14:textId="77777777" w:rsidR="005318E7" w:rsidRDefault="00A6273E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2B6C518" w14:textId="77777777" w:rsidR="007C6903" w:rsidRPr="00095662" w:rsidRDefault="007C6903" w:rsidP="007C6903">
      <w:pPr>
        <w:rPr>
          <w:iCs/>
        </w:rPr>
      </w:pPr>
    </w:p>
    <w:p w14:paraId="68B41D8E" w14:textId="736E4E64" w:rsidR="007C6903" w:rsidRPr="00095662" w:rsidRDefault="007C6903" w:rsidP="007C6903">
      <w:pPr>
        <w:rPr>
          <w:iCs/>
        </w:rPr>
      </w:pPr>
      <w:r w:rsidRPr="00134771">
        <w:rPr>
          <w:iCs/>
        </w:rPr>
        <w:t>Calculer le pourcentage en masse de diiode,</w:t>
      </w:r>
      <w:r w:rsidRPr="00095662">
        <w:rPr>
          <w:iCs/>
        </w:rPr>
        <w:t xml:space="preserve"> </w:t>
      </w:r>
      <w:r w:rsidR="000A1179">
        <w:rPr>
          <w:i/>
          <w:iCs/>
        </w:rPr>
        <w:t>p</w:t>
      </w:r>
      <w:r w:rsidR="000A1179" w:rsidRPr="00396529">
        <w:rPr>
          <w:iCs/>
        </w:rPr>
        <w:t>(</w:t>
      </w:r>
      <w:r w:rsidRPr="00396529">
        <w:rPr>
          <w:iCs/>
        </w:rPr>
        <w:t>I</w:t>
      </w:r>
      <w:r w:rsidRPr="00396529">
        <w:rPr>
          <w:iCs/>
          <w:vertAlign w:val="subscript"/>
        </w:rPr>
        <w:t>2</w:t>
      </w:r>
      <w:r w:rsidR="000A1179" w:rsidRPr="00396529">
        <w:rPr>
          <w:iCs/>
        </w:rPr>
        <w:t>)</w:t>
      </w:r>
      <w:r w:rsidR="00134771">
        <w:rPr>
          <w:iCs/>
        </w:rPr>
        <w:t>, dans la solution de B</w:t>
      </w:r>
      <w:r w:rsidRPr="00095662">
        <w:rPr>
          <w:iCs/>
        </w:rPr>
        <w:t>étadine</w:t>
      </w:r>
      <w:r w:rsidR="00134771">
        <w:rPr>
          <w:iCs/>
          <w:vertAlign w:val="superscript"/>
        </w:rPr>
        <w:t>®</w:t>
      </w:r>
      <w:r w:rsidRPr="00095662">
        <w:rPr>
          <w:iCs/>
        </w:rPr>
        <w:t xml:space="preserve"> commerciale (S). </w:t>
      </w:r>
      <w:bookmarkStart w:id="15" w:name="_GoBack"/>
      <w:bookmarkEnd w:id="15"/>
      <w:r w:rsidR="00FF14FC">
        <w:rPr>
          <w:iCs/>
        </w:rPr>
        <w:t xml:space="preserve">Conclure </w:t>
      </w:r>
      <w:r w:rsidR="001943B4">
        <w:rPr>
          <w:iCs/>
        </w:rPr>
        <w:t xml:space="preserve">quant à </w:t>
      </w:r>
      <w:r w:rsidR="00FF14FC">
        <w:rPr>
          <w:iCs/>
        </w:rPr>
        <w:t xml:space="preserve">l’opportunité </w:t>
      </w:r>
      <w:r w:rsidR="001943B4">
        <w:rPr>
          <w:iCs/>
        </w:rPr>
        <w:t>de l’</w:t>
      </w:r>
      <w:r w:rsidR="00FF14FC">
        <w:rPr>
          <w:iCs/>
        </w:rPr>
        <w:t>utilisation de la solution de Bétadine</w:t>
      </w:r>
      <w:r w:rsidR="00FF14FC" w:rsidRPr="00517DF8">
        <w:rPr>
          <w:iCs/>
          <w:vertAlign w:val="superscript"/>
        </w:rPr>
        <w:t>®</w:t>
      </w:r>
      <w:r w:rsidR="00FF14FC">
        <w:rPr>
          <w:iCs/>
        </w:rPr>
        <w:t> en vue de l’usage antiseptique visé.</w:t>
      </w:r>
    </w:p>
    <w:p w14:paraId="60DEC9E5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F432F3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C538F88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CB64CE4" w14:textId="77777777" w:rsidR="007C6903" w:rsidRPr="00341FA8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8B0A3AA" w14:textId="77777777" w:rsidR="00E26870" w:rsidRDefault="007C6903" w:rsidP="007C690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B838C9E" w14:textId="77777777" w:rsidR="00134771" w:rsidRPr="00341FA8" w:rsidRDefault="00134771" w:rsidP="0013477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B67DC3" w14:textId="77777777" w:rsidR="001943B4" w:rsidRDefault="001943B4" w:rsidP="001943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4037F0D" w14:textId="77777777" w:rsidR="001943B4" w:rsidRPr="00341FA8" w:rsidRDefault="001943B4" w:rsidP="001943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52DEE11" w14:textId="77777777" w:rsidR="001943B4" w:rsidRDefault="001943B4" w:rsidP="001943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E12BB92" w14:textId="77777777" w:rsidR="001943B4" w:rsidRPr="00341FA8" w:rsidRDefault="001943B4" w:rsidP="001943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FB2AF1F" w14:textId="77777777" w:rsidR="00134771" w:rsidRDefault="00134771" w:rsidP="00134771">
      <w:pPr>
        <w:pStyle w:val="ECErponse"/>
      </w:pPr>
    </w:p>
    <w:p w14:paraId="64F5256E" w14:textId="77777777" w:rsidR="00E26870" w:rsidRPr="00AD5C4C" w:rsidRDefault="00E26870" w:rsidP="00AD5C4C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3"/>
      <w:bookmarkEnd w:id="4"/>
      <w:bookmarkEnd w:id="5"/>
    </w:p>
    <w:sectPr w:rsidR="00E26870" w:rsidRPr="00AD5C4C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A0867" w14:textId="77777777" w:rsidR="002859FA" w:rsidRDefault="002859FA" w:rsidP="0008058B">
      <w:r>
        <w:separator/>
      </w:r>
    </w:p>
  </w:endnote>
  <w:endnote w:type="continuationSeparator" w:id="0">
    <w:p w14:paraId="78922030" w14:textId="77777777" w:rsidR="002859FA" w:rsidRDefault="002859FA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72779" w14:textId="6AC8E91F" w:rsidR="001943B4" w:rsidRPr="00827238" w:rsidRDefault="001943B4" w:rsidP="00511500">
    <w:pPr>
      <w:pStyle w:val="ECEcorps"/>
      <w:jc w:val="right"/>
    </w:pPr>
    <w:r w:rsidRPr="00827238">
      <w:t xml:space="preserve">Page </w:t>
    </w:r>
    <w:r w:rsidR="006638DC">
      <w:fldChar w:fldCharType="begin"/>
    </w:r>
    <w:r w:rsidR="00635992">
      <w:instrText xml:space="preserve"> PAGE </w:instrText>
    </w:r>
    <w:r w:rsidR="006638DC">
      <w:fldChar w:fldCharType="separate"/>
    </w:r>
    <w:r w:rsidR="00396529">
      <w:rPr>
        <w:noProof/>
      </w:rPr>
      <w:t>4</w:t>
    </w:r>
    <w:r w:rsidR="006638DC">
      <w:rPr>
        <w:noProof/>
      </w:rPr>
      <w:fldChar w:fldCharType="end"/>
    </w:r>
    <w:r w:rsidRPr="00827238">
      <w:t xml:space="preserve"> sur </w:t>
    </w:r>
    <w:r w:rsidR="006638DC">
      <w:fldChar w:fldCharType="begin"/>
    </w:r>
    <w:r w:rsidR="00635992">
      <w:instrText xml:space="preserve"> NUMPAGES  </w:instrText>
    </w:r>
    <w:r w:rsidR="006638DC">
      <w:fldChar w:fldCharType="separate"/>
    </w:r>
    <w:r w:rsidR="00396529">
      <w:rPr>
        <w:noProof/>
      </w:rPr>
      <w:t>4</w:t>
    </w:r>
    <w:r w:rsidR="006638D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DD1CE" w14:textId="77777777" w:rsidR="002859FA" w:rsidRDefault="002859FA" w:rsidP="0008058B">
      <w:r>
        <w:separator/>
      </w:r>
    </w:p>
  </w:footnote>
  <w:footnote w:type="continuationSeparator" w:id="0">
    <w:p w14:paraId="5CE7FD2C" w14:textId="77777777" w:rsidR="002859FA" w:rsidRDefault="002859FA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090AB" w14:textId="77777777" w:rsidR="001943B4" w:rsidRDefault="001943B4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66666E" w:rsidRPr="0066666E">
      <w:rPr>
        <w:b/>
        <w:sz w:val="28"/>
        <w:szCs w:val="28"/>
      </w:rPr>
      <w:t>ANTISEPTIQUE</w:t>
    </w:r>
    <w:r>
      <w:tab/>
      <w:t>Session</w:t>
    </w:r>
  </w:p>
  <w:p w14:paraId="48DAC457" w14:textId="51A884E1" w:rsidR="001943B4" w:rsidRDefault="001943B4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DE086F">
      <w:tab/>
      <w:t>202</w:t>
    </w:r>
    <w:r w:rsidR="00A72B32">
      <w:t>4</w:t>
    </w:r>
  </w:p>
  <w:p w14:paraId="0BAB2935" w14:textId="77777777" w:rsidR="001943B4" w:rsidRDefault="001943B4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523A03"/>
    <w:multiLevelType w:val="hybridMultilevel"/>
    <w:tmpl w:val="B6B24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606"/>
    <w:rsid w:val="000003B4"/>
    <w:rsid w:val="000007E9"/>
    <w:rsid w:val="0000513F"/>
    <w:rsid w:val="00020805"/>
    <w:rsid w:val="0002223C"/>
    <w:rsid w:val="00024878"/>
    <w:rsid w:val="0003345D"/>
    <w:rsid w:val="00033F3F"/>
    <w:rsid w:val="00036419"/>
    <w:rsid w:val="000374ED"/>
    <w:rsid w:val="00043E2A"/>
    <w:rsid w:val="000452AF"/>
    <w:rsid w:val="0005057E"/>
    <w:rsid w:val="0005391B"/>
    <w:rsid w:val="00060606"/>
    <w:rsid w:val="00070FA6"/>
    <w:rsid w:val="000730EC"/>
    <w:rsid w:val="000804C3"/>
    <w:rsid w:val="0008058B"/>
    <w:rsid w:val="0008187B"/>
    <w:rsid w:val="0009288D"/>
    <w:rsid w:val="00094606"/>
    <w:rsid w:val="00094889"/>
    <w:rsid w:val="00094B9D"/>
    <w:rsid w:val="000A0EF6"/>
    <w:rsid w:val="000A1179"/>
    <w:rsid w:val="000A35F6"/>
    <w:rsid w:val="000A3EEE"/>
    <w:rsid w:val="000A44CB"/>
    <w:rsid w:val="000A4DD1"/>
    <w:rsid w:val="000A622E"/>
    <w:rsid w:val="000A7BEB"/>
    <w:rsid w:val="000A7E22"/>
    <w:rsid w:val="000B726F"/>
    <w:rsid w:val="000C0C10"/>
    <w:rsid w:val="000C0E44"/>
    <w:rsid w:val="000C4088"/>
    <w:rsid w:val="000C4440"/>
    <w:rsid w:val="000D3D7B"/>
    <w:rsid w:val="000D4C7E"/>
    <w:rsid w:val="000E11E8"/>
    <w:rsid w:val="000E6CD3"/>
    <w:rsid w:val="000F09CE"/>
    <w:rsid w:val="000F2199"/>
    <w:rsid w:val="000F4F58"/>
    <w:rsid w:val="000F53D9"/>
    <w:rsid w:val="000F5562"/>
    <w:rsid w:val="00113FE7"/>
    <w:rsid w:val="00117BB9"/>
    <w:rsid w:val="001227DD"/>
    <w:rsid w:val="00125EC6"/>
    <w:rsid w:val="00127337"/>
    <w:rsid w:val="0013056C"/>
    <w:rsid w:val="00134771"/>
    <w:rsid w:val="001361F4"/>
    <w:rsid w:val="00136B76"/>
    <w:rsid w:val="00136EBC"/>
    <w:rsid w:val="001371CB"/>
    <w:rsid w:val="00144D16"/>
    <w:rsid w:val="00145CEE"/>
    <w:rsid w:val="0014717D"/>
    <w:rsid w:val="00154171"/>
    <w:rsid w:val="00154704"/>
    <w:rsid w:val="00162C7C"/>
    <w:rsid w:val="0016304D"/>
    <w:rsid w:val="0016308D"/>
    <w:rsid w:val="00180BB9"/>
    <w:rsid w:val="00184590"/>
    <w:rsid w:val="00185C9A"/>
    <w:rsid w:val="00192570"/>
    <w:rsid w:val="00192D9E"/>
    <w:rsid w:val="001943B4"/>
    <w:rsid w:val="001946FD"/>
    <w:rsid w:val="00194A94"/>
    <w:rsid w:val="00195444"/>
    <w:rsid w:val="001966F3"/>
    <w:rsid w:val="00197F7D"/>
    <w:rsid w:val="001A032B"/>
    <w:rsid w:val="001A07C5"/>
    <w:rsid w:val="001A3E78"/>
    <w:rsid w:val="001A43AF"/>
    <w:rsid w:val="001A795B"/>
    <w:rsid w:val="001B4290"/>
    <w:rsid w:val="001B5CD4"/>
    <w:rsid w:val="001B6AE5"/>
    <w:rsid w:val="001B6BCD"/>
    <w:rsid w:val="001C03D6"/>
    <w:rsid w:val="001C1B1D"/>
    <w:rsid w:val="001C388B"/>
    <w:rsid w:val="001C4065"/>
    <w:rsid w:val="001C50C9"/>
    <w:rsid w:val="001C6DD7"/>
    <w:rsid w:val="001C7882"/>
    <w:rsid w:val="001D322C"/>
    <w:rsid w:val="001E36BA"/>
    <w:rsid w:val="001E37A5"/>
    <w:rsid w:val="001E6BF0"/>
    <w:rsid w:val="001E7BBC"/>
    <w:rsid w:val="001F2B63"/>
    <w:rsid w:val="001F3BEA"/>
    <w:rsid w:val="001F42A2"/>
    <w:rsid w:val="001F5398"/>
    <w:rsid w:val="001F6316"/>
    <w:rsid w:val="00204A64"/>
    <w:rsid w:val="0021699E"/>
    <w:rsid w:val="00220975"/>
    <w:rsid w:val="00222333"/>
    <w:rsid w:val="00230543"/>
    <w:rsid w:val="00231AFC"/>
    <w:rsid w:val="00232DCD"/>
    <w:rsid w:val="0023590A"/>
    <w:rsid w:val="00235CF8"/>
    <w:rsid w:val="002402D0"/>
    <w:rsid w:val="002406F0"/>
    <w:rsid w:val="002436AD"/>
    <w:rsid w:val="00245998"/>
    <w:rsid w:val="002570A7"/>
    <w:rsid w:val="00267E4F"/>
    <w:rsid w:val="00272204"/>
    <w:rsid w:val="002739E2"/>
    <w:rsid w:val="0028020E"/>
    <w:rsid w:val="0028368F"/>
    <w:rsid w:val="002859FA"/>
    <w:rsid w:val="00286B3E"/>
    <w:rsid w:val="00297830"/>
    <w:rsid w:val="002A4E8D"/>
    <w:rsid w:val="002B0FD3"/>
    <w:rsid w:val="002B2244"/>
    <w:rsid w:val="002B44A4"/>
    <w:rsid w:val="002C3CC3"/>
    <w:rsid w:val="002C712A"/>
    <w:rsid w:val="002D179B"/>
    <w:rsid w:val="002E3F40"/>
    <w:rsid w:val="002E54CA"/>
    <w:rsid w:val="002E68C6"/>
    <w:rsid w:val="002E7086"/>
    <w:rsid w:val="002F1F63"/>
    <w:rsid w:val="002F3C3C"/>
    <w:rsid w:val="002F77D8"/>
    <w:rsid w:val="00305727"/>
    <w:rsid w:val="00305D9F"/>
    <w:rsid w:val="00312F6B"/>
    <w:rsid w:val="00313B78"/>
    <w:rsid w:val="0031429E"/>
    <w:rsid w:val="00314499"/>
    <w:rsid w:val="00314F87"/>
    <w:rsid w:val="00316625"/>
    <w:rsid w:val="003167DB"/>
    <w:rsid w:val="00317EBC"/>
    <w:rsid w:val="0032433E"/>
    <w:rsid w:val="00327E91"/>
    <w:rsid w:val="00331D97"/>
    <w:rsid w:val="00332943"/>
    <w:rsid w:val="00332C86"/>
    <w:rsid w:val="00335B86"/>
    <w:rsid w:val="00335C0F"/>
    <w:rsid w:val="0033731B"/>
    <w:rsid w:val="00343196"/>
    <w:rsid w:val="00344874"/>
    <w:rsid w:val="003455C4"/>
    <w:rsid w:val="00351073"/>
    <w:rsid w:val="003514C1"/>
    <w:rsid w:val="00355C8F"/>
    <w:rsid w:val="00356DD6"/>
    <w:rsid w:val="00362CCD"/>
    <w:rsid w:val="00363397"/>
    <w:rsid w:val="00363C3D"/>
    <w:rsid w:val="00366A24"/>
    <w:rsid w:val="00367552"/>
    <w:rsid w:val="00370A9E"/>
    <w:rsid w:val="0037189B"/>
    <w:rsid w:val="003750AC"/>
    <w:rsid w:val="0037570D"/>
    <w:rsid w:val="00376C10"/>
    <w:rsid w:val="003800FC"/>
    <w:rsid w:val="00380A67"/>
    <w:rsid w:val="003839E3"/>
    <w:rsid w:val="003844E1"/>
    <w:rsid w:val="003869AD"/>
    <w:rsid w:val="00392182"/>
    <w:rsid w:val="0039367C"/>
    <w:rsid w:val="00396529"/>
    <w:rsid w:val="00397E4F"/>
    <w:rsid w:val="003B130A"/>
    <w:rsid w:val="003B15C1"/>
    <w:rsid w:val="003B41FF"/>
    <w:rsid w:val="003C0A55"/>
    <w:rsid w:val="003C13F9"/>
    <w:rsid w:val="003C1500"/>
    <w:rsid w:val="003C528C"/>
    <w:rsid w:val="003C6A7A"/>
    <w:rsid w:val="003D2DB2"/>
    <w:rsid w:val="003F5DFB"/>
    <w:rsid w:val="00400882"/>
    <w:rsid w:val="004143AF"/>
    <w:rsid w:val="0041450D"/>
    <w:rsid w:val="00420950"/>
    <w:rsid w:val="00430881"/>
    <w:rsid w:val="004314C1"/>
    <w:rsid w:val="004427B4"/>
    <w:rsid w:val="004470BA"/>
    <w:rsid w:val="00452138"/>
    <w:rsid w:val="00452D44"/>
    <w:rsid w:val="00455CA0"/>
    <w:rsid w:val="00457661"/>
    <w:rsid w:val="00461647"/>
    <w:rsid w:val="00462579"/>
    <w:rsid w:val="0046515C"/>
    <w:rsid w:val="00465594"/>
    <w:rsid w:val="00466671"/>
    <w:rsid w:val="00476C4B"/>
    <w:rsid w:val="00483D9B"/>
    <w:rsid w:val="00484BB6"/>
    <w:rsid w:val="00484DFD"/>
    <w:rsid w:val="00486CC1"/>
    <w:rsid w:val="00490BE1"/>
    <w:rsid w:val="00494687"/>
    <w:rsid w:val="004951F3"/>
    <w:rsid w:val="004955A9"/>
    <w:rsid w:val="00496711"/>
    <w:rsid w:val="004B0790"/>
    <w:rsid w:val="004B461A"/>
    <w:rsid w:val="004B701D"/>
    <w:rsid w:val="004B7AC0"/>
    <w:rsid w:val="004C188A"/>
    <w:rsid w:val="004C193F"/>
    <w:rsid w:val="004C486D"/>
    <w:rsid w:val="004C572D"/>
    <w:rsid w:val="004C63B9"/>
    <w:rsid w:val="004C7336"/>
    <w:rsid w:val="004D5EFE"/>
    <w:rsid w:val="004E3F39"/>
    <w:rsid w:val="004E7A99"/>
    <w:rsid w:val="004E7C5D"/>
    <w:rsid w:val="004F323D"/>
    <w:rsid w:val="004F39E2"/>
    <w:rsid w:val="004F58C7"/>
    <w:rsid w:val="004F7FE3"/>
    <w:rsid w:val="00501769"/>
    <w:rsid w:val="00501826"/>
    <w:rsid w:val="00501E79"/>
    <w:rsid w:val="0051078D"/>
    <w:rsid w:val="00511500"/>
    <w:rsid w:val="00514057"/>
    <w:rsid w:val="0051466E"/>
    <w:rsid w:val="00514F40"/>
    <w:rsid w:val="00517DF8"/>
    <w:rsid w:val="0052797B"/>
    <w:rsid w:val="00527A98"/>
    <w:rsid w:val="00531889"/>
    <w:rsid w:val="005318E7"/>
    <w:rsid w:val="005338FA"/>
    <w:rsid w:val="0053548C"/>
    <w:rsid w:val="00535F25"/>
    <w:rsid w:val="005367B5"/>
    <w:rsid w:val="0053682A"/>
    <w:rsid w:val="00537A4F"/>
    <w:rsid w:val="005415CA"/>
    <w:rsid w:val="00545715"/>
    <w:rsid w:val="00555314"/>
    <w:rsid w:val="0058113D"/>
    <w:rsid w:val="005827DD"/>
    <w:rsid w:val="00582FA1"/>
    <w:rsid w:val="005901A8"/>
    <w:rsid w:val="00593DD4"/>
    <w:rsid w:val="005A3ADA"/>
    <w:rsid w:val="005A6352"/>
    <w:rsid w:val="005B4FA9"/>
    <w:rsid w:val="005E6C3D"/>
    <w:rsid w:val="005F3AC0"/>
    <w:rsid w:val="006017BB"/>
    <w:rsid w:val="00603814"/>
    <w:rsid w:val="0060508C"/>
    <w:rsid w:val="006052F4"/>
    <w:rsid w:val="00612A08"/>
    <w:rsid w:val="006130FF"/>
    <w:rsid w:val="006178A6"/>
    <w:rsid w:val="00620594"/>
    <w:rsid w:val="006220B0"/>
    <w:rsid w:val="00622A2D"/>
    <w:rsid w:val="006256F1"/>
    <w:rsid w:val="00631534"/>
    <w:rsid w:val="00635992"/>
    <w:rsid w:val="00641949"/>
    <w:rsid w:val="00641C53"/>
    <w:rsid w:val="0065061E"/>
    <w:rsid w:val="006638DC"/>
    <w:rsid w:val="0066666E"/>
    <w:rsid w:val="00666F5F"/>
    <w:rsid w:val="00670A39"/>
    <w:rsid w:val="0067559A"/>
    <w:rsid w:val="00675DF7"/>
    <w:rsid w:val="00680CBA"/>
    <w:rsid w:val="00682378"/>
    <w:rsid w:val="00691B8A"/>
    <w:rsid w:val="00693BEE"/>
    <w:rsid w:val="0069599A"/>
    <w:rsid w:val="00695B6C"/>
    <w:rsid w:val="00696E77"/>
    <w:rsid w:val="006A0F26"/>
    <w:rsid w:val="006A1119"/>
    <w:rsid w:val="006A2707"/>
    <w:rsid w:val="006A4098"/>
    <w:rsid w:val="006A4982"/>
    <w:rsid w:val="006A4B4F"/>
    <w:rsid w:val="006C0194"/>
    <w:rsid w:val="006C051C"/>
    <w:rsid w:val="006C3642"/>
    <w:rsid w:val="006C405B"/>
    <w:rsid w:val="006D796D"/>
    <w:rsid w:val="006E4A76"/>
    <w:rsid w:val="006E5409"/>
    <w:rsid w:val="006E61FC"/>
    <w:rsid w:val="006F3571"/>
    <w:rsid w:val="006F6BD9"/>
    <w:rsid w:val="00700B7B"/>
    <w:rsid w:val="00701124"/>
    <w:rsid w:val="00703EF9"/>
    <w:rsid w:val="00705657"/>
    <w:rsid w:val="007127EC"/>
    <w:rsid w:val="00714DD8"/>
    <w:rsid w:val="007171FB"/>
    <w:rsid w:val="0071778B"/>
    <w:rsid w:val="007248BF"/>
    <w:rsid w:val="00724A84"/>
    <w:rsid w:val="007344CF"/>
    <w:rsid w:val="00736B78"/>
    <w:rsid w:val="00741025"/>
    <w:rsid w:val="00744706"/>
    <w:rsid w:val="007479C4"/>
    <w:rsid w:val="00750D77"/>
    <w:rsid w:val="00751CCC"/>
    <w:rsid w:val="00752C74"/>
    <w:rsid w:val="00762F0F"/>
    <w:rsid w:val="00771608"/>
    <w:rsid w:val="0077242D"/>
    <w:rsid w:val="007771E9"/>
    <w:rsid w:val="007779EF"/>
    <w:rsid w:val="00777A5A"/>
    <w:rsid w:val="0078234C"/>
    <w:rsid w:val="00784927"/>
    <w:rsid w:val="00791883"/>
    <w:rsid w:val="00795BD5"/>
    <w:rsid w:val="007969F6"/>
    <w:rsid w:val="00796B52"/>
    <w:rsid w:val="007A4187"/>
    <w:rsid w:val="007A77C1"/>
    <w:rsid w:val="007B66F4"/>
    <w:rsid w:val="007C102B"/>
    <w:rsid w:val="007C22B5"/>
    <w:rsid w:val="007C2791"/>
    <w:rsid w:val="007C6903"/>
    <w:rsid w:val="007C6A56"/>
    <w:rsid w:val="007D10B7"/>
    <w:rsid w:val="007D2CCF"/>
    <w:rsid w:val="007D359B"/>
    <w:rsid w:val="007D5E21"/>
    <w:rsid w:val="007E5DC4"/>
    <w:rsid w:val="007F4752"/>
    <w:rsid w:val="007F4B1B"/>
    <w:rsid w:val="00802750"/>
    <w:rsid w:val="008034C0"/>
    <w:rsid w:val="00804D53"/>
    <w:rsid w:val="0081247E"/>
    <w:rsid w:val="00814D65"/>
    <w:rsid w:val="00815843"/>
    <w:rsid w:val="008212D5"/>
    <w:rsid w:val="00827238"/>
    <w:rsid w:val="00830CF7"/>
    <w:rsid w:val="00830F91"/>
    <w:rsid w:val="0083527B"/>
    <w:rsid w:val="00845CFB"/>
    <w:rsid w:val="00847E64"/>
    <w:rsid w:val="008504CD"/>
    <w:rsid w:val="008520BB"/>
    <w:rsid w:val="0087599A"/>
    <w:rsid w:val="008779E1"/>
    <w:rsid w:val="008821F4"/>
    <w:rsid w:val="00882C1C"/>
    <w:rsid w:val="00883B86"/>
    <w:rsid w:val="008842CD"/>
    <w:rsid w:val="008843CC"/>
    <w:rsid w:val="008900C4"/>
    <w:rsid w:val="00890A2C"/>
    <w:rsid w:val="008915AD"/>
    <w:rsid w:val="00891D8E"/>
    <w:rsid w:val="00892447"/>
    <w:rsid w:val="00894559"/>
    <w:rsid w:val="008A206A"/>
    <w:rsid w:val="008A2C45"/>
    <w:rsid w:val="008A5979"/>
    <w:rsid w:val="008A66EA"/>
    <w:rsid w:val="008B1679"/>
    <w:rsid w:val="008B1B0C"/>
    <w:rsid w:val="008B3457"/>
    <w:rsid w:val="008B6F96"/>
    <w:rsid w:val="008C2973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38A3"/>
    <w:rsid w:val="008F43AF"/>
    <w:rsid w:val="008F520D"/>
    <w:rsid w:val="00902E0B"/>
    <w:rsid w:val="00910A57"/>
    <w:rsid w:val="00910ACC"/>
    <w:rsid w:val="00910B6F"/>
    <w:rsid w:val="00915AEE"/>
    <w:rsid w:val="00916D3D"/>
    <w:rsid w:val="00917147"/>
    <w:rsid w:val="0092040F"/>
    <w:rsid w:val="00921C9E"/>
    <w:rsid w:val="009251C2"/>
    <w:rsid w:val="009362F7"/>
    <w:rsid w:val="009407A6"/>
    <w:rsid w:val="00943326"/>
    <w:rsid w:val="0094436A"/>
    <w:rsid w:val="009452CF"/>
    <w:rsid w:val="009506E7"/>
    <w:rsid w:val="00952DAD"/>
    <w:rsid w:val="00953B67"/>
    <w:rsid w:val="00956745"/>
    <w:rsid w:val="00961955"/>
    <w:rsid w:val="00964DF5"/>
    <w:rsid w:val="00965FA8"/>
    <w:rsid w:val="00972133"/>
    <w:rsid w:val="0097602E"/>
    <w:rsid w:val="00977D3F"/>
    <w:rsid w:val="009850FD"/>
    <w:rsid w:val="009903B6"/>
    <w:rsid w:val="00994DC8"/>
    <w:rsid w:val="009965D7"/>
    <w:rsid w:val="009A5591"/>
    <w:rsid w:val="009A5AB8"/>
    <w:rsid w:val="009B3241"/>
    <w:rsid w:val="009C3BB0"/>
    <w:rsid w:val="009C3CB0"/>
    <w:rsid w:val="009D5DFA"/>
    <w:rsid w:val="009D6E74"/>
    <w:rsid w:val="009E0132"/>
    <w:rsid w:val="009E02D9"/>
    <w:rsid w:val="009E173E"/>
    <w:rsid w:val="009E1FCF"/>
    <w:rsid w:val="009F2724"/>
    <w:rsid w:val="009F43E0"/>
    <w:rsid w:val="00A01302"/>
    <w:rsid w:val="00A027BC"/>
    <w:rsid w:val="00A05EB9"/>
    <w:rsid w:val="00A063A8"/>
    <w:rsid w:val="00A12834"/>
    <w:rsid w:val="00A16872"/>
    <w:rsid w:val="00A23E03"/>
    <w:rsid w:val="00A260A0"/>
    <w:rsid w:val="00A27074"/>
    <w:rsid w:val="00A3475D"/>
    <w:rsid w:val="00A35262"/>
    <w:rsid w:val="00A37761"/>
    <w:rsid w:val="00A436E8"/>
    <w:rsid w:val="00A446AD"/>
    <w:rsid w:val="00A525FD"/>
    <w:rsid w:val="00A52B59"/>
    <w:rsid w:val="00A5619C"/>
    <w:rsid w:val="00A607A2"/>
    <w:rsid w:val="00A60B25"/>
    <w:rsid w:val="00A611F0"/>
    <w:rsid w:val="00A62701"/>
    <w:rsid w:val="00A6273E"/>
    <w:rsid w:val="00A649FE"/>
    <w:rsid w:val="00A653C2"/>
    <w:rsid w:val="00A70BC5"/>
    <w:rsid w:val="00A72B32"/>
    <w:rsid w:val="00A74DC6"/>
    <w:rsid w:val="00A80AF6"/>
    <w:rsid w:val="00A82FAF"/>
    <w:rsid w:val="00A960AB"/>
    <w:rsid w:val="00A96E30"/>
    <w:rsid w:val="00AA675B"/>
    <w:rsid w:val="00AB1C2D"/>
    <w:rsid w:val="00AB4178"/>
    <w:rsid w:val="00AC0FE2"/>
    <w:rsid w:val="00AC15C4"/>
    <w:rsid w:val="00AC1F4D"/>
    <w:rsid w:val="00AC48FD"/>
    <w:rsid w:val="00AC599A"/>
    <w:rsid w:val="00AD050E"/>
    <w:rsid w:val="00AD1605"/>
    <w:rsid w:val="00AD461C"/>
    <w:rsid w:val="00AD5C4C"/>
    <w:rsid w:val="00AD7B63"/>
    <w:rsid w:val="00AE0217"/>
    <w:rsid w:val="00AE1C5F"/>
    <w:rsid w:val="00AE45AB"/>
    <w:rsid w:val="00AF12DB"/>
    <w:rsid w:val="00AF4687"/>
    <w:rsid w:val="00B03BD1"/>
    <w:rsid w:val="00B06940"/>
    <w:rsid w:val="00B120B8"/>
    <w:rsid w:val="00B12181"/>
    <w:rsid w:val="00B1380F"/>
    <w:rsid w:val="00B16059"/>
    <w:rsid w:val="00B1701C"/>
    <w:rsid w:val="00B247E5"/>
    <w:rsid w:val="00B25373"/>
    <w:rsid w:val="00B253E5"/>
    <w:rsid w:val="00B3421A"/>
    <w:rsid w:val="00B35967"/>
    <w:rsid w:val="00B37749"/>
    <w:rsid w:val="00B40BD5"/>
    <w:rsid w:val="00B40C58"/>
    <w:rsid w:val="00B4612A"/>
    <w:rsid w:val="00B4698B"/>
    <w:rsid w:val="00B46D6D"/>
    <w:rsid w:val="00B46EC2"/>
    <w:rsid w:val="00B504AA"/>
    <w:rsid w:val="00B63ABE"/>
    <w:rsid w:val="00B64DBE"/>
    <w:rsid w:val="00B7333F"/>
    <w:rsid w:val="00B7616B"/>
    <w:rsid w:val="00B827D4"/>
    <w:rsid w:val="00B90845"/>
    <w:rsid w:val="00B95497"/>
    <w:rsid w:val="00B95CE3"/>
    <w:rsid w:val="00BA6AE9"/>
    <w:rsid w:val="00BB3648"/>
    <w:rsid w:val="00BB5D1A"/>
    <w:rsid w:val="00BC4C64"/>
    <w:rsid w:val="00BD2046"/>
    <w:rsid w:val="00BE2432"/>
    <w:rsid w:val="00BE7B37"/>
    <w:rsid w:val="00BF163D"/>
    <w:rsid w:val="00BF194C"/>
    <w:rsid w:val="00BF45AB"/>
    <w:rsid w:val="00BF4A82"/>
    <w:rsid w:val="00BF661D"/>
    <w:rsid w:val="00BF6A14"/>
    <w:rsid w:val="00C02F91"/>
    <w:rsid w:val="00C03A01"/>
    <w:rsid w:val="00C03A82"/>
    <w:rsid w:val="00C06213"/>
    <w:rsid w:val="00C17467"/>
    <w:rsid w:val="00C2065A"/>
    <w:rsid w:val="00C227F1"/>
    <w:rsid w:val="00C22A4C"/>
    <w:rsid w:val="00C23C80"/>
    <w:rsid w:val="00C23E7C"/>
    <w:rsid w:val="00C24996"/>
    <w:rsid w:val="00C24FEE"/>
    <w:rsid w:val="00C26785"/>
    <w:rsid w:val="00C267CD"/>
    <w:rsid w:val="00C3270A"/>
    <w:rsid w:val="00C41B19"/>
    <w:rsid w:val="00C41EB2"/>
    <w:rsid w:val="00C467EB"/>
    <w:rsid w:val="00C52151"/>
    <w:rsid w:val="00C5235C"/>
    <w:rsid w:val="00C550C6"/>
    <w:rsid w:val="00C557EC"/>
    <w:rsid w:val="00C60133"/>
    <w:rsid w:val="00C60BE5"/>
    <w:rsid w:val="00C623E7"/>
    <w:rsid w:val="00C74BFD"/>
    <w:rsid w:val="00C85179"/>
    <w:rsid w:val="00C85EBB"/>
    <w:rsid w:val="00C8611B"/>
    <w:rsid w:val="00C8638A"/>
    <w:rsid w:val="00C934BF"/>
    <w:rsid w:val="00C96DA6"/>
    <w:rsid w:val="00CA1A4D"/>
    <w:rsid w:val="00CB5B8B"/>
    <w:rsid w:val="00CC034C"/>
    <w:rsid w:val="00CC57B9"/>
    <w:rsid w:val="00CC695B"/>
    <w:rsid w:val="00CD1F8A"/>
    <w:rsid w:val="00CD2A7B"/>
    <w:rsid w:val="00CD300B"/>
    <w:rsid w:val="00CE4EF5"/>
    <w:rsid w:val="00CE6AA4"/>
    <w:rsid w:val="00CF2CF9"/>
    <w:rsid w:val="00D0037D"/>
    <w:rsid w:val="00D0324F"/>
    <w:rsid w:val="00D061B8"/>
    <w:rsid w:val="00D073A6"/>
    <w:rsid w:val="00D20F73"/>
    <w:rsid w:val="00D31ACC"/>
    <w:rsid w:val="00D32EF2"/>
    <w:rsid w:val="00D33572"/>
    <w:rsid w:val="00D455A5"/>
    <w:rsid w:val="00D46477"/>
    <w:rsid w:val="00D46DF5"/>
    <w:rsid w:val="00D5209B"/>
    <w:rsid w:val="00D54164"/>
    <w:rsid w:val="00D610A3"/>
    <w:rsid w:val="00D61BAF"/>
    <w:rsid w:val="00D64332"/>
    <w:rsid w:val="00D658D3"/>
    <w:rsid w:val="00D742A9"/>
    <w:rsid w:val="00D74496"/>
    <w:rsid w:val="00D82237"/>
    <w:rsid w:val="00D9507F"/>
    <w:rsid w:val="00D9649A"/>
    <w:rsid w:val="00D96FEA"/>
    <w:rsid w:val="00DA2084"/>
    <w:rsid w:val="00DA6E08"/>
    <w:rsid w:val="00DB5A94"/>
    <w:rsid w:val="00DB76CB"/>
    <w:rsid w:val="00DC1C63"/>
    <w:rsid w:val="00DC569A"/>
    <w:rsid w:val="00DD02A8"/>
    <w:rsid w:val="00DD3429"/>
    <w:rsid w:val="00DD3E7F"/>
    <w:rsid w:val="00DD53EA"/>
    <w:rsid w:val="00DE086F"/>
    <w:rsid w:val="00DE1294"/>
    <w:rsid w:val="00DE3D26"/>
    <w:rsid w:val="00DE6F64"/>
    <w:rsid w:val="00DE7B24"/>
    <w:rsid w:val="00DF3178"/>
    <w:rsid w:val="00DF5D61"/>
    <w:rsid w:val="00DF6E9A"/>
    <w:rsid w:val="00DF780A"/>
    <w:rsid w:val="00E01154"/>
    <w:rsid w:val="00E01829"/>
    <w:rsid w:val="00E02879"/>
    <w:rsid w:val="00E10F6E"/>
    <w:rsid w:val="00E137F8"/>
    <w:rsid w:val="00E14A11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5126"/>
    <w:rsid w:val="00E46864"/>
    <w:rsid w:val="00E501C5"/>
    <w:rsid w:val="00E520C6"/>
    <w:rsid w:val="00E55717"/>
    <w:rsid w:val="00E56A7B"/>
    <w:rsid w:val="00E56D83"/>
    <w:rsid w:val="00E60331"/>
    <w:rsid w:val="00E60764"/>
    <w:rsid w:val="00E61462"/>
    <w:rsid w:val="00E738C3"/>
    <w:rsid w:val="00E74827"/>
    <w:rsid w:val="00E749E8"/>
    <w:rsid w:val="00E81F3D"/>
    <w:rsid w:val="00E85DDA"/>
    <w:rsid w:val="00E878DD"/>
    <w:rsid w:val="00E9440E"/>
    <w:rsid w:val="00E94AC5"/>
    <w:rsid w:val="00E961C1"/>
    <w:rsid w:val="00EA3C41"/>
    <w:rsid w:val="00EA4439"/>
    <w:rsid w:val="00EA52AE"/>
    <w:rsid w:val="00EB1D05"/>
    <w:rsid w:val="00EB1D93"/>
    <w:rsid w:val="00EC05B7"/>
    <w:rsid w:val="00EC4C0B"/>
    <w:rsid w:val="00ED26C1"/>
    <w:rsid w:val="00ED4279"/>
    <w:rsid w:val="00EE0587"/>
    <w:rsid w:val="00EE12CE"/>
    <w:rsid w:val="00EE308A"/>
    <w:rsid w:val="00EE3251"/>
    <w:rsid w:val="00EE3A1F"/>
    <w:rsid w:val="00EE5D35"/>
    <w:rsid w:val="00EF1517"/>
    <w:rsid w:val="00EF25B5"/>
    <w:rsid w:val="00EF446B"/>
    <w:rsid w:val="00F00CB7"/>
    <w:rsid w:val="00F0140F"/>
    <w:rsid w:val="00F01722"/>
    <w:rsid w:val="00F07A34"/>
    <w:rsid w:val="00F07F89"/>
    <w:rsid w:val="00F10905"/>
    <w:rsid w:val="00F11BD2"/>
    <w:rsid w:val="00F14501"/>
    <w:rsid w:val="00F15700"/>
    <w:rsid w:val="00F17E9F"/>
    <w:rsid w:val="00F20118"/>
    <w:rsid w:val="00F26D19"/>
    <w:rsid w:val="00F31C5B"/>
    <w:rsid w:val="00F35C1A"/>
    <w:rsid w:val="00F371EF"/>
    <w:rsid w:val="00F40EAF"/>
    <w:rsid w:val="00F45BAA"/>
    <w:rsid w:val="00F47358"/>
    <w:rsid w:val="00F51759"/>
    <w:rsid w:val="00F52C09"/>
    <w:rsid w:val="00F60C94"/>
    <w:rsid w:val="00F61259"/>
    <w:rsid w:val="00F61869"/>
    <w:rsid w:val="00F65642"/>
    <w:rsid w:val="00F66787"/>
    <w:rsid w:val="00F77D0D"/>
    <w:rsid w:val="00F812B9"/>
    <w:rsid w:val="00F823C0"/>
    <w:rsid w:val="00F845DD"/>
    <w:rsid w:val="00F879D2"/>
    <w:rsid w:val="00FA1EF6"/>
    <w:rsid w:val="00FA2474"/>
    <w:rsid w:val="00FB14E2"/>
    <w:rsid w:val="00FB25E2"/>
    <w:rsid w:val="00FB2CA9"/>
    <w:rsid w:val="00FB3A19"/>
    <w:rsid w:val="00FB5D58"/>
    <w:rsid w:val="00FD40C5"/>
    <w:rsid w:val="00FE4C5A"/>
    <w:rsid w:val="00FE6107"/>
    <w:rsid w:val="00FE6ED7"/>
    <w:rsid w:val="00FE76FD"/>
    <w:rsid w:val="00FF14FC"/>
    <w:rsid w:val="00FF2311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29A0FD"/>
  <w15:docId w15:val="{63DFBC38-D7AA-4C13-A24C-87AF5118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unhideWhenUsed/>
    <w:rsid w:val="002C71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995BAA-231C-4D80-8ABF-EB8934F9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113</TotalTime>
  <Pages>4</Pages>
  <Words>1189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22</cp:revision>
  <cp:lastPrinted>2019-01-08T16:19:00Z</cp:lastPrinted>
  <dcterms:created xsi:type="dcterms:W3CDTF">2020-06-05T15:18:00Z</dcterms:created>
  <dcterms:modified xsi:type="dcterms:W3CDTF">2023-11-21T16:22:00Z</dcterms:modified>
</cp:coreProperties>
</file>