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:rsidR="00A12834" w:rsidRPr="0060508C" w:rsidRDefault="00A12834" w:rsidP="0060508C">
      <w:pPr>
        <w:pStyle w:val="ECEbordure"/>
        <w:jc w:val="center"/>
      </w:pPr>
    </w:p>
    <w:p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:rsidR="00A12834" w:rsidRPr="0060508C" w:rsidRDefault="00A12834" w:rsidP="0060508C">
      <w:pPr>
        <w:pStyle w:val="ECEbordure"/>
        <w:jc w:val="center"/>
      </w:pPr>
    </w:p>
    <w:p w:rsidR="0008058B" w:rsidRDefault="0008058B" w:rsidP="008A2C45">
      <w:pPr>
        <w:pStyle w:val="ECEcorps"/>
      </w:pPr>
    </w:p>
    <w:p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:rsidR="00E26870" w:rsidRDefault="00E26870" w:rsidP="00E26870">
      <w:pPr>
        <w:pStyle w:val="ECEcorps"/>
      </w:pPr>
    </w:p>
    <w:p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F02613">
        <w:rPr>
          <w:b/>
        </w:rPr>
        <w:t>cinq</w:t>
      </w:r>
      <w:r w:rsidRPr="0003098E">
        <w:rPr>
          <w:bCs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:rsidR="00E26870" w:rsidRDefault="00E26870" w:rsidP="00E26870">
      <w:pPr>
        <w:pStyle w:val="ECEbordure"/>
      </w:pPr>
    </w:p>
    <w:p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:rsidR="00E26870" w:rsidRDefault="00E26870" w:rsidP="00E26870">
      <w:pPr>
        <w:pStyle w:val="ECEcorps"/>
        <w:rPr>
          <w:u w:val="single"/>
        </w:rPr>
      </w:pPr>
    </w:p>
    <w:p w:rsidR="003A114B" w:rsidRDefault="003A114B" w:rsidP="00E26870">
      <w:pPr>
        <w:pStyle w:val="ECEcorps"/>
        <w:rPr>
          <w:u w:val="single"/>
        </w:rPr>
      </w:pPr>
    </w:p>
    <w:p w:rsidR="003C6173" w:rsidRDefault="003C6173" w:rsidP="00E26870">
      <w:pPr>
        <w:pStyle w:val="ECEcorps"/>
        <w:rPr>
          <w:u w:val="single"/>
        </w:rPr>
      </w:pPr>
    </w:p>
    <w:p w:rsidR="003C6173" w:rsidRPr="00545715" w:rsidRDefault="003C6173" w:rsidP="00E26870">
      <w:pPr>
        <w:pStyle w:val="ECEcorps"/>
        <w:rPr>
          <w:u w:val="single"/>
        </w:rPr>
      </w:pPr>
    </w:p>
    <w:p w:rsidR="00F02613" w:rsidRDefault="00F02613" w:rsidP="00E26870">
      <w:pPr>
        <w:pStyle w:val="ECEtitre"/>
        <w:rPr>
          <w:sz w:val="24"/>
          <w:szCs w:val="24"/>
        </w:rPr>
      </w:pPr>
    </w:p>
    <w:p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:rsidR="00E26870" w:rsidRPr="00545715" w:rsidRDefault="00E26870" w:rsidP="00E26870">
      <w:pPr>
        <w:pStyle w:val="ECEcorps"/>
        <w:rPr>
          <w:u w:val="single"/>
        </w:rPr>
      </w:pPr>
    </w:p>
    <w:p w:rsidR="005A15CD" w:rsidRDefault="001D5DC3" w:rsidP="00191E67">
      <w:pPr>
        <w:pStyle w:val="ECEcorps"/>
      </w:pPr>
      <w:r>
        <w:t xml:space="preserve">Le </w:t>
      </w:r>
      <w:r w:rsidRPr="0003098E">
        <w:t>L</w:t>
      </w:r>
      <w:r>
        <w:t>ugol</w:t>
      </w:r>
      <w:r w:rsidRPr="0003098E">
        <w:t xml:space="preserve">® et le Métacuprol® sont deux antiseptiques utilisés en dermatologie. </w:t>
      </w:r>
      <w:r w:rsidR="005A15CD">
        <w:t xml:space="preserve">Le </w:t>
      </w:r>
      <w:r w:rsidR="002D6121" w:rsidRPr="0003098E">
        <w:t>L</w:t>
      </w:r>
      <w:r w:rsidR="005A15CD" w:rsidRPr="0003098E">
        <w:t>u</w:t>
      </w:r>
      <w:r w:rsidR="005A15CD">
        <w:t>gol</w:t>
      </w:r>
      <w:r w:rsidR="002D6121" w:rsidRPr="0003098E">
        <w:t xml:space="preserve">® </w:t>
      </w:r>
      <w:r w:rsidR="005A15CD">
        <w:t xml:space="preserve">est </w:t>
      </w:r>
      <w:r>
        <w:t xml:space="preserve">une solution aqueuse </w:t>
      </w:r>
      <w:r w:rsidR="005A15CD">
        <w:t>contenant notamment du diiode</w:t>
      </w:r>
      <w:r w:rsidR="008D5A51">
        <w:t xml:space="preserve"> </w:t>
      </w:r>
      <w:r w:rsidR="0003098E">
        <w:t>;</w:t>
      </w:r>
      <w:r w:rsidR="00427421">
        <w:t xml:space="preserve"> </w:t>
      </w:r>
      <w:r w:rsidR="005A15CD">
        <w:t xml:space="preserve">le </w:t>
      </w:r>
      <w:r w:rsidR="002D6121" w:rsidRPr="0003098E">
        <w:t>M</w:t>
      </w:r>
      <w:r w:rsidR="005A15CD" w:rsidRPr="0003098E">
        <w:t>étacuprol</w:t>
      </w:r>
      <w:r w:rsidR="002D6121" w:rsidRPr="0003098E">
        <w:t xml:space="preserve">® </w:t>
      </w:r>
      <w:r w:rsidR="005A15CD">
        <w:t>est un comprimé</w:t>
      </w:r>
      <w:r>
        <w:t xml:space="preserve"> effervescent</w:t>
      </w:r>
      <w:r w:rsidR="005A15CD">
        <w:t xml:space="preserve"> contenant du sulfate de cuivre.</w:t>
      </w:r>
    </w:p>
    <w:p w:rsidR="005A15CD" w:rsidRDefault="0017698F" w:rsidP="00191E67">
      <w:pPr>
        <w:pStyle w:val="ECEcorps"/>
      </w:pPr>
      <w:r>
        <w:t>Lorsque c</w:t>
      </w:r>
      <w:r w:rsidR="00F02613">
        <w:t>es</w:t>
      </w:r>
      <w:r w:rsidR="002227BB" w:rsidRPr="0003098E">
        <w:t xml:space="preserve"> deux </w:t>
      </w:r>
      <w:r w:rsidR="001D5DC3" w:rsidRPr="0003098E">
        <w:t>composés</w:t>
      </w:r>
      <w:r w:rsidR="002227BB" w:rsidRPr="0003098E">
        <w:t xml:space="preserve"> ont été mélangés</w:t>
      </w:r>
      <w:r w:rsidR="002B68D9">
        <w:t xml:space="preserve"> en vue d’une utilisation</w:t>
      </w:r>
      <w:r>
        <w:t>, ils</w:t>
      </w:r>
      <w:r w:rsidR="002227BB" w:rsidRPr="0003098E">
        <w:t xml:space="preserve"> </w:t>
      </w:r>
      <w:r w:rsidR="005A15CD">
        <w:t xml:space="preserve">doivent être séparés car </w:t>
      </w:r>
      <w:r w:rsidR="0003098E">
        <w:t>ils</w:t>
      </w:r>
      <w:r w:rsidR="005A15CD">
        <w:t xml:space="preserve"> ne sont pas recyclés de la même manière.</w:t>
      </w:r>
      <w:r>
        <w:t xml:space="preserve"> </w:t>
      </w:r>
      <w:r w:rsidR="005A15CD">
        <w:t>Pour cela, on peut réaliser une extraction liquide-liquide.</w:t>
      </w:r>
    </w:p>
    <w:p w:rsidR="0017698F" w:rsidRDefault="0017698F" w:rsidP="00191E67">
      <w:pPr>
        <w:pStyle w:val="ECEcorps"/>
      </w:pPr>
    </w:p>
    <w:p w:rsidR="0017698F" w:rsidRDefault="0017698F" w:rsidP="00191E67">
      <w:pPr>
        <w:pStyle w:val="ECEcorps"/>
      </w:pPr>
      <w:r>
        <w:t>On modélise le mélange des deux antiseptiques par une solution aqueuse de diiode et de sulfate de cuivre préalablement préparée au laboratoire.</w:t>
      </w:r>
    </w:p>
    <w:p w:rsidR="00C60969" w:rsidRDefault="00C60969" w:rsidP="00E26870">
      <w:pPr>
        <w:pStyle w:val="ECEcorps"/>
      </w:pPr>
    </w:p>
    <w:p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 xml:space="preserve">Le but de cette épreuve </w:t>
      </w:r>
      <w:r w:rsidR="005A15CD" w:rsidRPr="005A15CD">
        <w:rPr>
          <w:b/>
          <w:i/>
          <w:sz w:val="24"/>
        </w:rPr>
        <w:t>est de choisir le solvant le plus adapté à l’extraction du diiode</w:t>
      </w:r>
      <w:r w:rsidR="00EC4C9E">
        <w:rPr>
          <w:b/>
          <w:i/>
          <w:sz w:val="24"/>
        </w:rPr>
        <w:t xml:space="preserve"> d</w:t>
      </w:r>
      <w:r w:rsidR="0017698F">
        <w:rPr>
          <w:b/>
          <w:i/>
          <w:sz w:val="24"/>
        </w:rPr>
        <w:t>e ce</w:t>
      </w:r>
      <w:r w:rsidR="00EC4C9E">
        <w:rPr>
          <w:b/>
          <w:i/>
          <w:sz w:val="24"/>
        </w:rPr>
        <w:t xml:space="preserve"> </w:t>
      </w:r>
      <w:r w:rsidR="00EC4C9E" w:rsidRPr="0003098E">
        <w:rPr>
          <w:b/>
          <w:i/>
          <w:sz w:val="24"/>
        </w:rPr>
        <w:t>mélange</w:t>
      </w:r>
      <w:r w:rsidR="0017698F">
        <w:rPr>
          <w:b/>
          <w:i/>
          <w:sz w:val="24"/>
        </w:rPr>
        <w:t>.</w:t>
      </w:r>
    </w:p>
    <w:p w:rsidR="00C60969" w:rsidRDefault="00C60969" w:rsidP="00E26870">
      <w:pPr>
        <w:pStyle w:val="ECEcorps"/>
      </w:pPr>
    </w:p>
    <w:p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:rsidR="00CE0C27" w:rsidRDefault="00CE0C27" w:rsidP="00E26870">
      <w:pPr>
        <w:pStyle w:val="ECEcorps"/>
        <w:rPr>
          <w:b/>
          <w:sz w:val="24"/>
          <w:szCs w:val="24"/>
          <w:u w:val="single"/>
        </w:rPr>
      </w:pPr>
    </w:p>
    <w:p w:rsidR="00F02613" w:rsidRDefault="00F02613" w:rsidP="00E26870">
      <w:pPr>
        <w:pStyle w:val="ECEcorps"/>
        <w:rPr>
          <w:b/>
          <w:sz w:val="24"/>
          <w:szCs w:val="24"/>
          <w:u w:val="single"/>
        </w:rPr>
      </w:pPr>
    </w:p>
    <w:p w:rsidR="003C6173" w:rsidRDefault="003C6173" w:rsidP="00E26870">
      <w:pPr>
        <w:pStyle w:val="ECEcorps"/>
        <w:rPr>
          <w:b/>
          <w:sz w:val="24"/>
          <w:szCs w:val="24"/>
          <w:u w:val="single"/>
        </w:rPr>
      </w:pPr>
    </w:p>
    <w:p w:rsidR="003C6173" w:rsidRDefault="003C6173" w:rsidP="00E26870">
      <w:pPr>
        <w:pStyle w:val="ECEcorps"/>
        <w:rPr>
          <w:b/>
          <w:sz w:val="24"/>
          <w:szCs w:val="24"/>
          <w:u w:val="single"/>
        </w:rPr>
      </w:pPr>
    </w:p>
    <w:p w:rsidR="003C6173" w:rsidRDefault="003C6173" w:rsidP="00E26870">
      <w:pPr>
        <w:pStyle w:val="ECEcorps"/>
        <w:rPr>
          <w:b/>
          <w:sz w:val="24"/>
          <w:szCs w:val="24"/>
          <w:u w:val="single"/>
        </w:rPr>
      </w:pPr>
    </w:p>
    <w:p w:rsidR="003C6173" w:rsidRDefault="003C6173" w:rsidP="00E26870">
      <w:pPr>
        <w:pStyle w:val="ECEcorps"/>
        <w:rPr>
          <w:b/>
          <w:sz w:val="24"/>
          <w:szCs w:val="24"/>
          <w:u w:val="single"/>
        </w:rPr>
      </w:pPr>
    </w:p>
    <w:p w:rsidR="003C6173" w:rsidRDefault="003C6173" w:rsidP="00E26870">
      <w:pPr>
        <w:pStyle w:val="ECEcorps"/>
        <w:rPr>
          <w:b/>
          <w:sz w:val="24"/>
          <w:szCs w:val="24"/>
          <w:u w:val="single"/>
        </w:rPr>
      </w:pPr>
    </w:p>
    <w:p w:rsidR="00DB05E8" w:rsidRDefault="00DB05E8" w:rsidP="00E26870">
      <w:pPr>
        <w:pStyle w:val="ECEcorps"/>
        <w:rPr>
          <w:b/>
          <w:sz w:val="24"/>
          <w:szCs w:val="24"/>
          <w:u w:val="single"/>
        </w:rPr>
      </w:pPr>
    </w:p>
    <w:p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:rsidR="00C60969" w:rsidRPr="00545715" w:rsidRDefault="00C60969" w:rsidP="00E26870">
      <w:pPr>
        <w:pStyle w:val="ECEcorps"/>
      </w:pPr>
    </w:p>
    <w:p w:rsidR="003A114B" w:rsidRDefault="002B68D9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E</w:t>
      </w:r>
      <w:r w:rsidR="00191E67">
        <w:rPr>
          <w:sz w:val="24"/>
          <w:szCs w:val="24"/>
        </w:rPr>
        <w:t>xtraction liquide-liquide</w:t>
      </w:r>
    </w:p>
    <w:p w:rsidR="002B68D9" w:rsidRDefault="002B68D9" w:rsidP="002B68D9">
      <w:pPr>
        <w:pStyle w:val="ECEcorps"/>
      </w:pPr>
    </w:p>
    <w:p w:rsidR="002B68D9" w:rsidRPr="002B68D9" w:rsidRDefault="002B68D9" w:rsidP="002B68D9">
      <w:pPr>
        <w:pStyle w:val="ECEcorps"/>
      </w:pPr>
      <w:r>
        <w:t>Pour réaliser une extraction liquide-liquide de manière satisfaisante, plusieurs critères doivent être respectés :</w:t>
      </w:r>
    </w:p>
    <w:p w:rsidR="003A114B" w:rsidRPr="003A114B" w:rsidRDefault="003A114B" w:rsidP="003A114B">
      <w:pPr>
        <w:pStyle w:val="ECEcorps"/>
      </w:pPr>
    </w:p>
    <w:p w:rsidR="00191E67" w:rsidRDefault="00191E67" w:rsidP="00191E67">
      <w:pPr>
        <w:pStyle w:val="ECEpuce1"/>
      </w:pPr>
      <w:r w:rsidRPr="00C825B3">
        <w:t>Le solvant extracteur doit être non</w:t>
      </w:r>
      <w:r w:rsidR="002B68D9">
        <w:t>-miscible au solvant d’origine.</w:t>
      </w:r>
    </w:p>
    <w:p w:rsidR="00191E67" w:rsidRDefault="00191E67" w:rsidP="00191E67">
      <w:pPr>
        <w:pStyle w:val="ECEpuce1"/>
      </w:pPr>
      <w:r w:rsidRPr="00C825B3">
        <w:t xml:space="preserve">L’espèce chimique à extraire doit être plus soluble dans le solvant extracteur que </w:t>
      </w:r>
      <w:r w:rsidR="00E73630">
        <w:t xml:space="preserve">dans </w:t>
      </w:r>
      <w:r w:rsidR="002B68D9">
        <w:t>le solvant d’origine.</w:t>
      </w:r>
    </w:p>
    <w:p w:rsidR="003A114B" w:rsidRPr="00191E67" w:rsidRDefault="00191E67" w:rsidP="00191E67">
      <w:pPr>
        <w:pStyle w:val="ECEpuce1"/>
      </w:pPr>
      <w:r w:rsidRPr="00191E67">
        <w:t xml:space="preserve">Le solvant extracteur choisi doit être le moins toxique et le moins dangereux </w:t>
      </w:r>
      <w:r w:rsidR="002B68D9" w:rsidRPr="00191E67">
        <w:t>possible</w:t>
      </w:r>
      <w:r w:rsidR="002B68D9">
        <w:t xml:space="preserve"> </w:t>
      </w:r>
      <w:r w:rsidRPr="00191E67">
        <w:t>pour l’environnement</w:t>
      </w:r>
      <w:r w:rsidR="0003098E">
        <w:t>.</w:t>
      </w:r>
    </w:p>
    <w:p w:rsidR="007E7114" w:rsidRPr="007E7114" w:rsidRDefault="007E7114" w:rsidP="007E7114">
      <w:pPr>
        <w:pStyle w:val="ECEcorps"/>
      </w:pPr>
    </w:p>
    <w:p w:rsidR="00F02613" w:rsidRDefault="00F02613" w:rsidP="00F02613">
      <w:pPr>
        <w:pStyle w:val="ECEtitre"/>
        <w:rPr>
          <w:sz w:val="24"/>
          <w:szCs w:val="24"/>
          <w:u w:val="none"/>
        </w:rPr>
      </w:pPr>
      <w:r w:rsidRPr="00136091">
        <w:rPr>
          <w:sz w:val="24"/>
          <w:szCs w:val="24"/>
        </w:rPr>
        <w:t xml:space="preserve">Données </w:t>
      </w:r>
      <w:r>
        <w:rPr>
          <w:sz w:val="24"/>
          <w:szCs w:val="24"/>
        </w:rPr>
        <w:t>physico-</w:t>
      </w:r>
      <w:r w:rsidR="002B68D9">
        <w:rPr>
          <w:sz w:val="24"/>
          <w:szCs w:val="24"/>
        </w:rPr>
        <w:t>chimiques de quelques solvants</w:t>
      </w:r>
    </w:p>
    <w:p w:rsidR="00F02613" w:rsidRPr="00B265A5" w:rsidRDefault="00F02613" w:rsidP="00F02613">
      <w:pPr>
        <w:pStyle w:val="ECEcorps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61"/>
        <w:gridCol w:w="1171"/>
        <w:gridCol w:w="1189"/>
        <w:gridCol w:w="2954"/>
        <w:gridCol w:w="1345"/>
      </w:tblGrid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Solvant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Eau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E73630" w:rsidP="002D0558">
            <w:pPr>
              <w:jc w:val="center"/>
            </w:pPr>
            <w:r>
              <w:t>É</w:t>
            </w:r>
            <w:r w:rsidR="00F27747">
              <w:t>thanol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Cyclohexane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Huile de lin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DB05E8">
            <w:pPr>
              <w:jc w:val="center"/>
            </w:pPr>
            <w:r>
              <w:t>Masse volumique (</w:t>
            </w:r>
            <m:oMath>
              <m:r>
                <m:rPr>
                  <m:nor/>
                </m:rPr>
                <m:t>kg∙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L</m:t>
                  </m:r>
                </m:e>
                <m:sup>
                  <m:r>
                    <m:rPr>
                      <m:nor/>
                    </m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1,0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0,79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0,78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0,93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Miscibilité avec l’eau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Oui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Très faible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Très Faible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Solubilité du diiode dans le solvant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Très faible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Très élevée</w:t>
            </w:r>
          </w:p>
        </w:tc>
        <w:tc>
          <w:tcPr>
            <w:tcW w:w="0" w:type="auto"/>
            <w:vAlign w:val="center"/>
          </w:tcPr>
          <w:p w:rsidR="00F27747" w:rsidRDefault="00E73630" w:rsidP="002D0558">
            <w:pPr>
              <w:jc w:val="center"/>
            </w:pPr>
            <w:r>
              <w:t>É</w:t>
            </w:r>
            <w:r w:rsidR="00F27747">
              <w:t>levée</w:t>
            </w:r>
          </w:p>
        </w:tc>
        <w:tc>
          <w:tcPr>
            <w:tcW w:w="0" w:type="auto"/>
            <w:vAlign w:val="center"/>
          </w:tcPr>
          <w:p w:rsidR="00F27747" w:rsidRDefault="00E73630" w:rsidP="002D0558">
            <w:pPr>
              <w:jc w:val="center"/>
            </w:pPr>
            <w:r>
              <w:t>É</w:t>
            </w:r>
            <w:r w:rsidR="00F27747">
              <w:t>levée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Couleur de la solution de diiode dans le solvant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Jaune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Brun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Violet-rose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Brun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Solubilité du sulfate de cuivre dans le solvant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Très élevée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Faible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Presque nulle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Presque nulle</w:t>
            </w:r>
          </w:p>
        </w:tc>
      </w:tr>
      <w:tr w:rsidR="00F27747" w:rsidTr="003C6173">
        <w:tc>
          <w:tcPr>
            <w:tcW w:w="0" w:type="auto"/>
            <w:shd w:val="clear" w:color="auto" w:fill="D9D9D9" w:themeFill="background1" w:themeFillShade="D9"/>
            <w:vAlign w:val="center"/>
          </w:tcPr>
          <w:p w:rsidR="00F27747" w:rsidRDefault="00F27747" w:rsidP="002D0558">
            <w:pPr>
              <w:jc w:val="center"/>
            </w:pPr>
            <w:r>
              <w:t>Sécurité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3860" cy="3832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012" cy="387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27747" w:rsidRDefault="00F27747" w:rsidP="002D0558">
            <w:pPr>
              <w:jc w:val="center"/>
            </w:pPr>
            <w:r>
              <w:t>H225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 w:rsidRPr="004D1CB3">
              <w:rPr>
                <w:noProof/>
              </w:rPr>
              <w:drawing>
                <wp:inline distT="0" distB="0" distL="0" distR="0">
                  <wp:extent cx="800100" cy="371206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965" cy="38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747" w:rsidRDefault="00F27747" w:rsidP="002D0558">
            <w:pPr>
              <w:jc w:val="center"/>
            </w:pPr>
            <w:r w:rsidRPr="004D1CB3">
              <w:rPr>
                <w:noProof/>
              </w:rPr>
              <w:drawing>
                <wp:inline distT="0" distB="0" distL="0" distR="0">
                  <wp:extent cx="716280" cy="339166"/>
                  <wp:effectExtent l="0" t="0" r="7620" b="381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48" cy="341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7747" w:rsidRDefault="00F27747" w:rsidP="002D0558">
            <w:pPr>
              <w:jc w:val="center"/>
            </w:pPr>
            <w:r>
              <w:t>H225 - H304 - H315 - H336 - H410</w:t>
            </w:r>
          </w:p>
        </w:tc>
        <w:tc>
          <w:tcPr>
            <w:tcW w:w="0" w:type="auto"/>
            <w:vAlign w:val="center"/>
          </w:tcPr>
          <w:p w:rsidR="00F27747" w:rsidRDefault="00F27747" w:rsidP="002D0558">
            <w:pPr>
              <w:jc w:val="center"/>
            </w:pPr>
            <w:r>
              <w:t>-</w:t>
            </w:r>
          </w:p>
        </w:tc>
      </w:tr>
    </w:tbl>
    <w:p w:rsidR="00F02613" w:rsidRDefault="00F02613" w:rsidP="003A114B">
      <w:pPr>
        <w:pStyle w:val="ECEtitre"/>
        <w:rPr>
          <w:sz w:val="24"/>
          <w:szCs w:val="24"/>
        </w:rPr>
      </w:pPr>
    </w:p>
    <w:p w:rsidR="003C6173" w:rsidRDefault="003C6173" w:rsidP="003C6173">
      <w:pPr>
        <w:pStyle w:val="ECEtitre"/>
        <w:rPr>
          <w:sz w:val="24"/>
          <w:szCs w:val="24"/>
        </w:rPr>
      </w:pPr>
    </w:p>
    <w:p w:rsidR="003C6173" w:rsidRPr="000F78DA" w:rsidRDefault="003C6173" w:rsidP="003C6173">
      <w:pPr>
        <w:pStyle w:val="ECEtitre"/>
        <w:rPr>
          <w:sz w:val="24"/>
          <w:szCs w:val="24"/>
        </w:rPr>
      </w:pPr>
      <w:r w:rsidRPr="004C1C45">
        <w:rPr>
          <w:sz w:val="24"/>
          <w:szCs w:val="24"/>
        </w:rPr>
        <w:t>Rendement d</w:t>
      </w:r>
      <w:r>
        <w:rPr>
          <w:sz w:val="24"/>
          <w:szCs w:val="24"/>
        </w:rPr>
        <w:t>e</w:t>
      </w:r>
      <w:r w:rsidRPr="004C1C45">
        <w:rPr>
          <w:sz w:val="24"/>
          <w:szCs w:val="24"/>
        </w:rPr>
        <w:t xml:space="preserve"> </w:t>
      </w:r>
      <w:r>
        <w:rPr>
          <w:sz w:val="24"/>
          <w:szCs w:val="24"/>
        </w:rPr>
        <w:t>l’</w:t>
      </w:r>
      <w:r w:rsidRPr="004C1C45">
        <w:rPr>
          <w:sz w:val="24"/>
          <w:szCs w:val="24"/>
        </w:rPr>
        <w:t>extraction</w:t>
      </w:r>
      <w:r w:rsidR="002B68D9">
        <w:rPr>
          <w:sz w:val="24"/>
          <w:szCs w:val="24"/>
        </w:rPr>
        <w:t xml:space="preserve"> du diiode</w:t>
      </w:r>
    </w:p>
    <w:p w:rsidR="003C6173" w:rsidRPr="00B265A5" w:rsidRDefault="003C6173" w:rsidP="003C6173">
      <w:pPr>
        <w:pStyle w:val="ECEcorps"/>
      </w:pPr>
    </w:p>
    <w:p w:rsidR="003C6173" w:rsidRDefault="003C6173" w:rsidP="003C6173">
      <w:pPr>
        <w:pStyle w:val="ECEcorps"/>
      </w:pPr>
      <w:r>
        <w:t>Le rendement r d’une extraction est le quotient de la quantité de matière de soluté passée dans le solvant extracteur divisé par la quantité de matière de soluté présente dans le mélange initial :</w:t>
      </w:r>
    </w:p>
    <w:p w:rsidR="003C6173" w:rsidRPr="00F02613" w:rsidRDefault="003C6173" w:rsidP="003C6173">
      <w:pPr>
        <w:pStyle w:val="ECEcorps"/>
        <w:jc w:val="center"/>
        <w:rPr>
          <w:lang w:val="pt-BR"/>
        </w:rPr>
      </w:pPr>
      <m:oMathPara>
        <m:oMath>
          <m:r>
            <m:rPr>
              <m:nor/>
            </m:rPr>
            <w:rPr>
              <w:i/>
              <w:lang w:val="pt-BR"/>
            </w:rPr>
            <m:t>r</m:t>
          </m:r>
          <m:r>
            <m:rPr>
              <m:nor/>
            </m:rPr>
            <w:rPr>
              <w:rFonts w:ascii="Cambria Math"/>
              <w:i/>
              <w:lang w:val="pt-BR"/>
            </w:rPr>
            <m:t xml:space="preserve"> </m:t>
          </m:r>
          <m:r>
            <m:rPr>
              <m:nor/>
            </m:rPr>
            <w:rPr>
              <w:lang w:val="pt-BR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pt-BR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val="pt-BR"/>
                        </w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pt-BR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val="pt-BR"/>
                    </w:rPr>
                    <m:t>, extrait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pt-BR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val="pt-BR"/>
                        </w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pt-BR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val="pt-BR"/>
                    </w:rPr>
                    <m:t>,initial</m:t>
                  </m:r>
                </m:sub>
              </m:sSub>
            </m:den>
          </m:f>
        </m:oMath>
      </m:oMathPara>
    </w:p>
    <w:p w:rsidR="003C6173" w:rsidRDefault="003C6173" w:rsidP="003C6173">
      <w:pPr>
        <w:pStyle w:val="ECEcorps"/>
        <w:rPr>
          <w:lang w:val="pt-BR"/>
        </w:rPr>
      </w:pPr>
      <w:r>
        <w:rPr>
          <w:lang w:val="pt-BR"/>
        </w:rPr>
        <w:t>Dans le contexte de cette extraction, les quantités de matière étant contenues dans un même volume</w:t>
      </w:r>
      <w:r w:rsidR="00F53388">
        <w:rPr>
          <w:lang w:val="pt-BR"/>
        </w:rPr>
        <w:t>, le rendement de l’extraction peut s’écrire :</w:t>
      </w:r>
    </w:p>
    <w:p w:rsidR="00F53388" w:rsidRPr="00F02613" w:rsidRDefault="00F53388" w:rsidP="003C6173">
      <w:pPr>
        <w:pStyle w:val="ECEcorps"/>
        <w:rPr>
          <w:lang w:val="pt-BR"/>
        </w:rPr>
      </w:pPr>
      <m:oMathPara>
        <m:oMath>
          <m:r>
            <m:rPr>
              <m:nor/>
            </m:rPr>
            <w:rPr>
              <w:i/>
            </w:rPr>
            <m:t>r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 initial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-</m:t>
              </m:r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 restant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 initial</m:t>
                  </m:r>
                </m:sub>
              </m:sSub>
            </m:den>
          </m:f>
        </m:oMath>
      </m:oMathPara>
    </w:p>
    <w:p w:rsidR="00F53388" w:rsidRDefault="00F53388" w:rsidP="003C6173">
      <w:pPr>
        <w:pStyle w:val="ECEcorps"/>
        <w:rPr>
          <w:lang w:val="pt-BR"/>
        </w:rPr>
      </w:pPr>
      <w:r>
        <w:rPr>
          <w:lang w:val="pt-BR"/>
        </w:rPr>
        <w:t>avec :</w:t>
      </w:r>
    </w:p>
    <w:p w:rsidR="00F53388" w:rsidRDefault="00631FA8" w:rsidP="003C6173">
      <w:pPr>
        <w:pStyle w:val="ECEcorps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I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r>
              <m:rPr>
                <m:nor/>
              </m:rPr>
              <m:t xml:space="preserve"> initial</m:t>
            </m:r>
          </m:sub>
        </m:sSub>
      </m:oMath>
      <w:r w:rsidR="00F53388">
        <w:t xml:space="preserve"> la concentration en quantité de matière en diiode </w:t>
      </w:r>
      <w:r w:rsidR="00041F83">
        <w:t xml:space="preserve">dans la phase aqueuse </w:t>
      </w:r>
      <w:r w:rsidR="00F53388">
        <w:t>avant l’extraction</w:t>
      </w:r>
      <w:r w:rsidR="00973DA1">
        <w:t>,</w:t>
      </w:r>
    </w:p>
    <w:p w:rsidR="003C6173" w:rsidRDefault="00631FA8" w:rsidP="003C6173">
      <w:pPr>
        <w:pStyle w:val="ECEcorps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I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r>
              <m:rPr>
                <m:nor/>
              </m:rPr>
              <m:t xml:space="preserve"> restant</m:t>
            </m:r>
          </m:sub>
        </m:sSub>
      </m:oMath>
      <w:r w:rsidR="00F53388">
        <w:t xml:space="preserve"> la concentration en quantité de matière en diiode</w:t>
      </w:r>
      <w:r w:rsidR="00041F83">
        <w:t xml:space="preserve"> dans la phase aqueuse</w:t>
      </w:r>
      <w:r w:rsidR="00F53388">
        <w:t xml:space="preserve"> après l’extraction</w:t>
      </w:r>
      <w:r w:rsidR="00973DA1">
        <w:t>.</w:t>
      </w:r>
    </w:p>
    <w:p w:rsidR="003C6173" w:rsidRDefault="003C6173" w:rsidP="003C6173">
      <w:pPr>
        <w:pStyle w:val="ECEcorps"/>
      </w:pPr>
    </w:p>
    <w:p w:rsidR="003C6173" w:rsidRDefault="003C6173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F53388" w:rsidRDefault="00F53388" w:rsidP="003C6173">
      <w:pPr>
        <w:pStyle w:val="ECEcorps"/>
      </w:pPr>
    </w:p>
    <w:p w:rsidR="003A114B" w:rsidRDefault="009C746B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lastRenderedPageBreak/>
        <w:t>Spectres d’absorption</w:t>
      </w:r>
    </w:p>
    <w:p w:rsidR="0011723C" w:rsidRDefault="0011723C" w:rsidP="002101CF">
      <w:pPr>
        <w:pStyle w:val="ECEcorps"/>
        <w:jc w:val="center"/>
      </w:pPr>
      <w:r>
        <w:rPr>
          <w:noProof/>
        </w:rPr>
        <w:drawing>
          <wp:inline distT="0" distB="0" distL="0" distR="0">
            <wp:extent cx="4874698" cy="2137338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736" cy="215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23C" w:rsidRPr="0011723C" w:rsidRDefault="00A131FB" w:rsidP="002101CF">
      <w:pPr>
        <w:pStyle w:val="ECEcorps"/>
        <w:jc w:val="center"/>
      </w:pPr>
      <w:r>
        <w:rPr>
          <w:noProof/>
        </w:rPr>
        <w:drawing>
          <wp:inline distT="0" distB="0" distL="0" distR="0">
            <wp:extent cx="5271530" cy="2317531"/>
            <wp:effectExtent l="0" t="0" r="5715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432" cy="233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:rsidR="00E26870" w:rsidRDefault="005B472F" w:rsidP="00E26870">
      <w:pPr>
        <w:pStyle w:val="ECEpartie"/>
        <w:numPr>
          <w:ilvl w:val="0"/>
          <w:numId w:val="6"/>
        </w:numPr>
        <w:rPr>
          <w:b w:val="0"/>
          <w:bCs/>
        </w:rPr>
      </w:pPr>
      <w:bookmarkStart w:id="5" w:name="_Toc482638814"/>
      <w:bookmarkStart w:id="6" w:name="_Toc500182691"/>
      <w:r>
        <w:t>Extraction du diiode par de l’huile de lin</w:t>
      </w:r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0B47B0">
        <w:rPr>
          <w:b w:val="0"/>
          <w:bCs/>
        </w:rPr>
        <w:t>1</w:t>
      </w:r>
      <w:r w:rsidR="007F499D">
        <w:rPr>
          <w:b w:val="0"/>
          <w:bCs/>
        </w:rPr>
        <w:t>0</w:t>
      </w:r>
      <w:r w:rsidR="00E26870" w:rsidRPr="00FF78A1">
        <w:rPr>
          <w:b w:val="0"/>
          <w:bCs/>
        </w:rPr>
        <w:t xml:space="preserve"> minutes conseillées)</w:t>
      </w:r>
      <w:bookmarkEnd w:id="5"/>
      <w:bookmarkEnd w:id="6"/>
    </w:p>
    <w:p w:rsidR="0003098E" w:rsidRDefault="0003098E" w:rsidP="002D6121">
      <w:pPr>
        <w:pStyle w:val="ECEcorps"/>
      </w:pPr>
    </w:p>
    <w:p w:rsidR="002D6121" w:rsidRDefault="003E3B46" w:rsidP="002D6121">
      <w:pPr>
        <w:pStyle w:val="ECEcorps"/>
      </w:pPr>
      <w:r w:rsidRPr="0003098E">
        <w:t>L</w:t>
      </w:r>
      <w:r w:rsidR="00041F83">
        <w:t xml:space="preserve">a solution de diiode et de sulfate de cuivre </w:t>
      </w:r>
      <w:r w:rsidRPr="0003098E">
        <w:t>étudié</w:t>
      </w:r>
      <w:r w:rsidR="00041F83">
        <w:t>e</w:t>
      </w:r>
      <w:r w:rsidRPr="0003098E">
        <w:t xml:space="preserve"> est appelé</w:t>
      </w:r>
      <w:r w:rsidR="00041F83">
        <w:t>e</w:t>
      </w:r>
      <w:r w:rsidRPr="0003098E">
        <w:t xml:space="preserve"> </w:t>
      </w:r>
      <w:r w:rsidR="00041F83">
        <w:t>solution</w:t>
      </w:r>
      <w:r w:rsidRPr="0003098E">
        <w:t xml:space="preserve"> </w:t>
      </w:r>
      <w:r w:rsidR="00041F83">
        <w:rPr>
          <w:b/>
          <w:bCs/>
        </w:rPr>
        <w:t>S</w:t>
      </w:r>
      <w:r w:rsidRPr="0003098E">
        <w:t>.</w:t>
      </w:r>
    </w:p>
    <w:p w:rsidR="00961D2D" w:rsidRDefault="00961D2D" w:rsidP="002D6121">
      <w:pPr>
        <w:pStyle w:val="ECEcorps"/>
      </w:pPr>
    </w:p>
    <w:p w:rsidR="005B472F" w:rsidRPr="00B265A5" w:rsidRDefault="005B472F" w:rsidP="008D5A51">
      <w:pPr>
        <w:pStyle w:val="ECEcorps"/>
        <w:numPr>
          <w:ilvl w:val="1"/>
          <w:numId w:val="6"/>
        </w:numPr>
        <w:rPr>
          <w:b/>
          <w:bCs/>
          <w:u w:val="single"/>
        </w:rPr>
      </w:pPr>
      <w:r w:rsidRPr="00E5755B">
        <w:rPr>
          <w:noProof/>
        </w:rPr>
        <w:t>Mettre en œuvre le protocole d’extraction du diiode suivant :</w:t>
      </w:r>
    </w:p>
    <w:p w:rsidR="00B265A5" w:rsidRPr="00E5755B" w:rsidRDefault="00B265A5" w:rsidP="00B265A5">
      <w:pPr>
        <w:pStyle w:val="ECEcorps"/>
        <w:ind w:left="360"/>
        <w:rPr>
          <w:b/>
          <w:bCs/>
          <w:u w:val="single"/>
        </w:rPr>
      </w:pPr>
    </w:p>
    <w:p w:rsidR="007D679C" w:rsidRDefault="005B472F" w:rsidP="008D5A51">
      <w:pPr>
        <w:pStyle w:val="ECEcorps"/>
        <w:numPr>
          <w:ilvl w:val="0"/>
          <w:numId w:val="12"/>
        </w:numPr>
        <w:rPr>
          <w:noProof/>
        </w:rPr>
      </w:pPr>
      <w:r w:rsidRPr="007B715E">
        <w:rPr>
          <w:noProof/>
        </w:rPr>
        <w:t>Verser 30 mL d</w:t>
      </w:r>
      <w:r w:rsidR="00373812">
        <w:rPr>
          <w:noProof/>
        </w:rPr>
        <w:t>e solution</w:t>
      </w:r>
      <w:r w:rsidRPr="007B715E">
        <w:rPr>
          <w:noProof/>
        </w:rPr>
        <w:t xml:space="preserve"> </w:t>
      </w:r>
      <w:r w:rsidR="00373812">
        <w:rPr>
          <w:b/>
          <w:bCs/>
          <w:noProof/>
        </w:rPr>
        <w:t>S</w:t>
      </w:r>
      <w:r w:rsidR="000B47B0">
        <w:rPr>
          <w:noProof/>
        </w:rPr>
        <w:t xml:space="preserve"> </w:t>
      </w:r>
      <w:r w:rsidRPr="007B715E">
        <w:rPr>
          <w:noProof/>
        </w:rPr>
        <w:t>dans une ampoule à décanter</w:t>
      </w:r>
      <w:r w:rsidR="000B47B0">
        <w:rPr>
          <w:noProof/>
        </w:rPr>
        <w:t>.</w:t>
      </w:r>
    </w:p>
    <w:p w:rsidR="005B472F" w:rsidRPr="007B715E" w:rsidRDefault="005B472F" w:rsidP="008D5A51">
      <w:pPr>
        <w:pStyle w:val="ECEcorps"/>
        <w:numPr>
          <w:ilvl w:val="0"/>
          <w:numId w:val="12"/>
        </w:numPr>
        <w:rPr>
          <w:noProof/>
        </w:rPr>
      </w:pPr>
      <w:r w:rsidRPr="007B715E">
        <w:rPr>
          <w:noProof/>
        </w:rPr>
        <w:t xml:space="preserve">Ajouter 20 mL </w:t>
      </w:r>
      <w:r w:rsidR="007D679C" w:rsidRPr="0003098E">
        <w:rPr>
          <w:noProof/>
        </w:rPr>
        <w:t>d’huile de lin</w:t>
      </w:r>
      <w:r w:rsidR="000B47B0">
        <w:rPr>
          <w:noProof/>
        </w:rPr>
        <w:t>.</w:t>
      </w:r>
    </w:p>
    <w:p w:rsidR="005B472F" w:rsidRDefault="005F6B03" w:rsidP="008D5A51">
      <w:pPr>
        <w:pStyle w:val="ECEcorps"/>
        <w:numPr>
          <w:ilvl w:val="0"/>
          <w:numId w:val="12"/>
        </w:numPr>
        <w:rPr>
          <w:noProof/>
        </w:rPr>
      </w:pPr>
      <w:r>
        <w:rPr>
          <w:noProof/>
        </w:rPr>
        <w:t>Mettre en œuvre</w:t>
      </w:r>
      <w:r w:rsidR="005B472F" w:rsidRPr="007B715E">
        <w:rPr>
          <w:noProof/>
        </w:rPr>
        <w:t xml:space="preserve"> l’extraction</w:t>
      </w:r>
      <w:r w:rsidR="005B472F">
        <w:rPr>
          <w:noProof/>
        </w:rPr>
        <w:t>.</w:t>
      </w:r>
    </w:p>
    <w:p w:rsidR="009C746B" w:rsidRPr="009C746B" w:rsidRDefault="00947176" w:rsidP="008D5A51">
      <w:pPr>
        <w:pStyle w:val="ECEcorps"/>
        <w:numPr>
          <w:ilvl w:val="0"/>
          <w:numId w:val="12"/>
        </w:numPr>
        <w:rPr>
          <w:i/>
          <w:iCs/>
        </w:rPr>
      </w:pPr>
      <w:r w:rsidRPr="00947176">
        <w:rPr>
          <w:noProof/>
        </w:rPr>
        <w:t xml:space="preserve">Laisser décanter. </w:t>
      </w:r>
    </w:p>
    <w:p w:rsidR="004677CA" w:rsidRPr="00947176" w:rsidRDefault="00947176" w:rsidP="009C746B">
      <w:pPr>
        <w:pStyle w:val="ECEcorps"/>
        <w:rPr>
          <w:i/>
          <w:iCs/>
        </w:rPr>
      </w:pPr>
      <w:r w:rsidRPr="00947176">
        <w:rPr>
          <w:noProof/>
        </w:rPr>
        <w:t>On procèdera à la séparation ultérieurement.</w:t>
      </w:r>
    </w:p>
    <w:p w:rsidR="00D80CAA" w:rsidRDefault="00D80CAA" w:rsidP="00EE7D3F">
      <w:pPr>
        <w:pStyle w:val="ECEcorps"/>
      </w:pPr>
    </w:p>
    <w:p w:rsidR="00E26870" w:rsidRDefault="005B472F" w:rsidP="008D5A51">
      <w:pPr>
        <w:pStyle w:val="ECEcorps"/>
        <w:numPr>
          <w:ilvl w:val="1"/>
          <w:numId w:val="6"/>
        </w:numPr>
      </w:pPr>
      <w:r>
        <w:t xml:space="preserve">Justifier le choix de l’huile de lin pour extraire le diiode </w:t>
      </w:r>
      <w:r w:rsidR="00373812" w:rsidRPr="007B715E">
        <w:rPr>
          <w:noProof/>
        </w:rPr>
        <w:t>d</w:t>
      </w:r>
      <w:r w:rsidR="00373812">
        <w:rPr>
          <w:noProof/>
        </w:rPr>
        <w:t>e la solution</w:t>
      </w:r>
      <w:r w:rsidR="00373812" w:rsidRPr="007B715E">
        <w:rPr>
          <w:noProof/>
        </w:rPr>
        <w:t xml:space="preserve"> </w:t>
      </w:r>
      <w:r w:rsidR="00373812">
        <w:rPr>
          <w:b/>
          <w:bCs/>
          <w:noProof/>
        </w:rPr>
        <w:t>S</w:t>
      </w:r>
      <w:r w:rsidR="009C746B">
        <w:rPr>
          <w:bCs/>
          <w:noProof/>
        </w:rPr>
        <w:t>. Trois arguments sont attendus.</w:t>
      </w:r>
    </w:p>
    <w:p w:rsidR="0003163B" w:rsidRDefault="0003163B" w:rsidP="0003163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03163B" w:rsidRDefault="0003163B" w:rsidP="0003163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03163B" w:rsidRDefault="0003163B" w:rsidP="0003163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03163B" w:rsidRDefault="0003163B" w:rsidP="0003163B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9C746B" w:rsidRDefault="009C746B" w:rsidP="002101CF">
      <w:pPr>
        <w:pStyle w:val="ECErponse"/>
        <w:jc w:val="right"/>
      </w:pPr>
    </w:p>
    <w:p w:rsidR="00DB05E8" w:rsidRDefault="00DB05E8" w:rsidP="002101CF">
      <w:pPr>
        <w:pStyle w:val="ECErponse"/>
        <w:jc w:val="right"/>
      </w:pPr>
    </w:p>
    <w:p w:rsidR="002101CF" w:rsidRDefault="002101CF" w:rsidP="002101CF">
      <w:pPr>
        <w:pStyle w:val="ECErponse"/>
        <w:jc w:val="right"/>
      </w:pPr>
    </w:p>
    <w:p w:rsidR="00E26870" w:rsidRDefault="0003163B" w:rsidP="00E26870">
      <w:pPr>
        <w:pStyle w:val="ECEpartie"/>
        <w:rPr>
          <w:b w:val="0"/>
          <w:bCs/>
        </w:rPr>
      </w:pPr>
      <w:bookmarkStart w:id="7" w:name="_Toc482638815"/>
      <w:bookmarkStart w:id="8" w:name="_Toc500182692"/>
      <w:r>
        <w:t xml:space="preserve">Gamme d’étalonnage </w:t>
      </w:r>
      <w:r w:rsidR="00E26870" w:rsidRPr="00FF78A1">
        <w:rPr>
          <w:b w:val="0"/>
          <w:bCs/>
        </w:rPr>
        <w:t>(</w:t>
      </w:r>
      <w:r w:rsidR="00BD1D3E">
        <w:rPr>
          <w:b w:val="0"/>
          <w:bCs/>
        </w:rPr>
        <w:t>25</w:t>
      </w:r>
      <w:r w:rsidR="00E26870" w:rsidRPr="00FF78A1">
        <w:rPr>
          <w:b w:val="0"/>
          <w:bCs/>
        </w:rPr>
        <w:t xml:space="preserve"> minutes conseillées)</w:t>
      </w:r>
      <w:bookmarkEnd w:id="7"/>
      <w:bookmarkEnd w:id="8"/>
    </w:p>
    <w:p w:rsidR="001F5C2E" w:rsidRPr="001F5C2E" w:rsidRDefault="001F5C2E" w:rsidP="001F5C2E">
      <w:pPr>
        <w:pStyle w:val="ECEcorps"/>
      </w:pPr>
      <w:bookmarkStart w:id="9" w:name="_GoBack"/>
      <w:bookmarkEnd w:id="9"/>
    </w:p>
    <w:p w:rsidR="000647A5" w:rsidRDefault="000647A5" w:rsidP="000647A5">
      <w:pPr>
        <w:pStyle w:val="ECEcorps"/>
      </w:pPr>
      <w:r>
        <w:t xml:space="preserve">Le tableau ci-dessous présente </w:t>
      </w:r>
      <w:r w:rsidR="002101CF">
        <w:t>les valeurs des absorbances mesurée</w:t>
      </w:r>
      <w:r w:rsidR="009C746B">
        <w:t xml:space="preserve">s pour </w:t>
      </w:r>
      <w:r>
        <w:t>une gamme-étalon de solutions aqueuses de diiode</w:t>
      </w:r>
      <w:r w:rsidR="009C746B">
        <w:t xml:space="preserve">. </w:t>
      </w:r>
      <w:r w:rsidR="000C6CB3">
        <w:t>Dans le cadre de cette évaluation, on a choisi de réaliser ces mesures à</w:t>
      </w:r>
      <w:r w:rsidR="00DE55C2">
        <w:t xml:space="preserve"> la longueur </w:t>
      </w:r>
      <w:r w:rsidR="008922F1">
        <w:t xml:space="preserve">d’onde </w:t>
      </w:r>
      <w:r w:rsidR="00DE55C2">
        <w:t xml:space="preserve">de travail </w:t>
      </w:r>
      <m:oMath>
        <m:r>
          <m:rPr>
            <m:nor/>
          </m:rPr>
          <m:t>λ</m:t>
        </m:r>
        <m:r>
          <w:rPr>
            <w:rFonts w:ascii="Cambria Math" w:hAnsi="Cambria Math"/>
          </w:rPr>
          <m:t>=475</m:t>
        </m:r>
      </m:oMath>
      <w:r w:rsidR="00DE55C2">
        <w:t xml:space="preserve"> nm</w:t>
      </w:r>
      <w:r w:rsidR="00100231">
        <w:t xml:space="preserve">. </w:t>
      </w:r>
    </w:p>
    <w:p w:rsidR="000647A5" w:rsidRDefault="000647A5" w:rsidP="000647A5">
      <w:pPr>
        <w:pStyle w:val="ECEcorps"/>
      </w:pPr>
    </w:p>
    <w:tbl>
      <w:tblPr>
        <w:tblStyle w:val="Grilledutableau"/>
        <w:tblpPr w:leftFromText="141" w:rightFromText="141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2633"/>
        <w:gridCol w:w="1285"/>
        <w:gridCol w:w="1286"/>
        <w:gridCol w:w="1286"/>
        <w:gridCol w:w="1286"/>
        <w:gridCol w:w="1286"/>
      </w:tblGrid>
      <w:tr w:rsidR="00F02613" w:rsidTr="00F02613">
        <w:tc>
          <w:tcPr>
            <w:tcW w:w="2633" w:type="dxa"/>
          </w:tcPr>
          <w:p w:rsidR="00F02613" w:rsidRDefault="00F02613" w:rsidP="00F02613">
            <w:pPr>
              <w:pStyle w:val="ECEcorps"/>
              <w:jc w:val="center"/>
            </w:pPr>
            <w:r>
              <w:t>Solution étalon</w:t>
            </w:r>
          </w:p>
        </w:tc>
        <w:tc>
          <w:tcPr>
            <w:tcW w:w="1285" w:type="dxa"/>
            <w:vAlign w:val="center"/>
          </w:tcPr>
          <w:p w:rsidR="00F02613" w:rsidRPr="002101CF" w:rsidRDefault="002101CF" w:rsidP="002101CF">
            <w:pPr>
              <w:pStyle w:val="ECEcorps"/>
              <w:jc w:val="center"/>
              <w:rPr>
                <w:b/>
              </w:rPr>
            </w:pPr>
            <w:r w:rsidRPr="002101CF">
              <w:rPr>
                <w:rFonts w:ascii="Cambria Math" w:hAnsi="Cambria Math" w:cs="Cambria Math"/>
                <w:b/>
              </w:rPr>
              <w:t>S</w:t>
            </w:r>
            <w:r w:rsidRPr="002101CF">
              <w:rPr>
                <w:rFonts w:ascii="Cambria Math" w:hAnsi="Cambria Math" w:cs="Cambria Math"/>
                <w:b/>
                <w:vertAlign w:val="subscript"/>
              </w:rPr>
              <w:t>1</w:t>
            </w:r>
          </w:p>
        </w:tc>
        <w:tc>
          <w:tcPr>
            <w:tcW w:w="1286" w:type="dxa"/>
            <w:vAlign w:val="center"/>
          </w:tcPr>
          <w:p w:rsidR="00F02613" w:rsidRPr="002101CF" w:rsidRDefault="002101CF" w:rsidP="00F02613">
            <w:pPr>
              <w:pStyle w:val="ECEcorps"/>
              <w:jc w:val="center"/>
              <w:rPr>
                <w:b/>
              </w:rPr>
            </w:pPr>
            <w:r w:rsidRPr="002101CF">
              <w:rPr>
                <w:rFonts w:ascii="Cambria Math" w:hAnsi="Cambria Math" w:cs="Cambria Math"/>
                <w:b/>
              </w:rPr>
              <w:t>S</w:t>
            </w:r>
            <w:r w:rsidRPr="002101CF">
              <w:rPr>
                <w:rFonts w:ascii="Cambria Math" w:hAnsi="Cambria Math" w:cs="Cambria Math"/>
                <w:b/>
                <w:vertAlign w:val="subscript"/>
              </w:rPr>
              <w:t>2</w:t>
            </w:r>
          </w:p>
        </w:tc>
        <w:tc>
          <w:tcPr>
            <w:tcW w:w="1286" w:type="dxa"/>
            <w:vAlign w:val="center"/>
          </w:tcPr>
          <w:p w:rsidR="00F02613" w:rsidRPr="002101CF" w:rsidRDefault="002101CF" w:rsidP="00F02613">
            <w:pPr>
              <w:pStyle w:val="ECEcorps"/>
              <w:jc w:val="center"/>
              <w:rPr>
                <w:b/>
              </w:rPr>
            </w:pPr>
            <w:r w:rsidRPr="002101CF">
              <w:rPr>
                <w:rFonts w:ascii="Cambria Math" w:hAnsi="Cambria Math" w:cs="Cambria Math"/>
                <w:b/>
              </w:rPr>
              <w:t>S</w:t>
            </w:r>
            <w:r w:rsidRPr="002101CF">
              <w:rPr>
                <w:rFonts w:ascii="Cambria Math" w:hAnsi="Cambria Math" w:cs="Cambria Math"/>
                <w:b/>
                <w:vertAlign w:val="subscript"/>
              </w:rPr>
              <w:t>3</w:t>
            </w:r>
          </w:p>
        </w:tc>
        <w:tc>
          <w:tcPr>
            <w:tcW w:w="1286" w:type="dxa"/>
            <w:shd w:val="clear" w:color="auto" w:fill="BFBFBF" w:themeFill="background1" w:themeFillShade="BF"/>
            <w:vAlign w:val="center"/>
          </w:tcPr>
          <w:p w:rsidR="00F02613" w:rsidRPr="002101CF" w:rsidRDefault="002101CF" w:rsidP="00F02613">
            <w:pPr>
              <w:pStyle w:val="ECEcorps"/>
              <w:jc w:val="center"/>
              <w:rPr>
                <w:b/>
              </w:rPr>
            </w:pPr>
            <w:r w:rsidRPr="002101CF">
              <w:rPr>
                <w:rFonts w:ascii="Cambria Math" w:hAnsi="Cambria Math" w:cs="Cambria Math"/>
                <w:b/>
              </w:rPr>
              <w:t>S</w:t>
            </w:r>
            <w:r w:rsidRPr="002101CF">
              <w:rPr>
                <w:rFonts w:ascii="Cambria Math" w:hAnsi="Cambria Math" w:cs="Cambria Math"/>
                <w:b/>
                <w:vertAlign w:val="subscript"/>
              </w:rPr>
              <w:t>4</w:t>
            </w:r>
          </w:p>
        </w:tc>
        <w:tc>
          <w:tcPr>
            <w:tcW w:w="1286" w:type="dxa"/>
            <w:vAlign w:val="center"/>
          </w:tcPr>
          <w:p w:rsidR="00F02613" w:rsidRPr="002101CF" w:rsidRDefault="002101CF" w:rsidP="00F02613">
            <w:pPr>
              <w:pStyle w:val="ECEcorps"/>
              <w:jc w:val="center"/>
              <w:rPr>
                <w:b/>
              </w:rPr>
            </w:pPr>
            <w:r w:rsidRPr="002101CF">
              <w:rPr>
                <w:rFonts w:ascii="Cambria Math" w:hAnsi="Cambria Math" w:cs="Cambria Math"/>
                <w:b/>
              </w:rPr>
              <w:t>S</w:t>
            </w:r>
            <w:r w:rsidRPr="002101CF">
              <w:rPr>
                <w:rFonts w:ascii="Cambria Math" w:hAnsi="Cambria Math" w:cs="Cambria Math"/>
                <w:b/>
                <w:vertAlign w:val="subscript"/>
              </w:rPr>
              <w:t>5</w:t>
            </w:r>
          </w:p>
        </w:tc>
      </w:tr>
      <w:tr w:rsidR="00F02613" w:rsidTr="00F02613">
        <w:tc>
          <w:tcPr>
            <w:tcW w:w="2633" w:type="dxa"/>
          </w:tcPr>
          <w:p w:rsidR="00F02613" w:rsidRDefault="00F02613" w:rsidP="00DB05E8">
            <w:pPr>
              <w:pStyle w:val="ECEcorps"/>
              <w:jc w:val="center"/>
            </w:pPr>
            <w:r>
              <w:t xml:space="preserve">Concentration en quantité de matière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</m:sub>
              </m:sSub>
            </m:oMath>
            <w:r>
              <w:t xml:space="preserve"> (</w:t>
            </w:r>
            <m:oMath>
              <m:r>
                <m:rPr>
                  <m:nor/>
                </m:rPr>
                <w:rPr>
                  <w:iCs/>
                </w:rPr>
                <m:t>mol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nor/>
                    </m:rPr>
                    <w:rPr>
                      <w:iCs/>
                    </w:rPr>
                    <m:t>L</m:t>
                  </m:r>
                </m:e>
                <m:sup>
                  <m:r>
                    <m:rPr>
                      <m:nor/>
                    </m:rPr>
                    <w:rPr>
                      <w:iCs/>
                    </w:rPr>
                    <m:t>–1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>
              <w:t xml:space="preserve"> </w:t>
            </w:r>
          </w:p>
        </w:tc>
        <w:tc>
          <w:tcPr>
            <w:tcW w:w="1285" w:type="dxa"/>
            <w:vAlign w:val="center"/>
          </w:tcPr>
          <w:p w:rsidR="00F02613" w:rsidRPr="00D81E9B" w:rsidRDefault="00F02613" w:rsidP="00F02613">
            <w:pPr>
              <w:pStyle w:val="ECEcorps"/>
              <w:jc w:val="center"/>
            </w:pPr>
            <m:oMathPara>
              <m:oMath>
                <m:r>
                  <m:rPr>
                    <m:nor/>
                  </m:rPr>
                  <m:t>2,5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</m:oMath>
            </m:oMathPara>
          </w:p>
        </w:tc>
        <w:tc>
          <w:tcPr>
            <w:tcW w:w="1286" w:type="dxa"/>
            <w:vAlign w:val="center"/>
          </w:tcPr>
          <w:p w:rsidR="00F02613" w:rsidRPr="00D81E9B" w:rsidRDefault="00F02613" w:rsidP="00F02613">
            <w:pPr>
              <w:pStyle w:val="ECEcorps"/>
              <w:jc w:val="center"/>
            </w:pPr>
            <m:oMathPara>
              <m:oMath>
                <m:r>
                  <m:rPr>
                    <m:nor/>
                  </m:rPr>
                  <m:t>2,0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</m:oMath>
            </m:oMathPara>
          </w:p>
        </w:tc>
        <w:tc>
          <w:tcPr>
            <w:tcW w:w="1286" w:type="dxa"/>
            <w:vAlign w:val="center"/>
          </w:tcPr>
          <w:p w:rsidR="00F02613" w:rsidRPr="00D81E9B" w:rsidRDefault="00F02613" w:rsidP="00F02613">
            <w:pPr>
              <w:pStyle w:val="ECEcorps"/>
              <w:jc w:val="center"/>
            </w:pPr>
            <m:oMathPara>
              <m:oMath>
                <m:r>
                  <m:rPr>
                    <m:nor/>
                  </m:rPr>
                  <m:t>1,5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</m:oMath>
            </m:oMathPara>
          </w:p>
        </w:tc>
        <w:tc>
          <w:tcPr>
            <w:tcW w:w="1286" w:type="dxa"/>
            <w:shd w:val="clear" w:color="auto" w:fill="BFBFBF" w:themeFill="background1" w:themeFillShade="BF"/>
            <w:vAlign w:val="center"/>
          </w:tcPr>
          <w:p w:rsidR="00F02613" w:rsidRPr="00D81E9B" w:rsidRDefault="00F02613" w:rsidP="00F02613">
            <w:pPr>
              <w:pStyle w:val="ECEcorps"/>
              <w:jc w:val="center"/>
            </w:pPr>
            <m:oMathPara>
              <m:oMath>
                <m:r>
                  <m:rPr>
                    <m:nor/>
                  </m:rPr>
                  <m:t>2,5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–4</m:t>
                    </m:r>
                  </m:sup>
                </m:sSup>
              </m:oMath>
            </m:oMathPara>
          </w:p>
        </w:tc>
        <w:tc>
          <w:tcPr>
            <w:tcW w:w="1286" w:type="dxa"/>
            <w:vAlign w:val="center"/>
          </w:tcPr>
          <w:p w:rsidR="00F02613" w:rsidRPr="00D81E9B" w:rsidRDefault="00F02613" w:rsidP="00F02613">
            <w:pPr>
              <w:pStyle w:val="ECEcorps"/>
              <w:jc w:val="center"/>
            </w:pPr>
            <m:oMathPara>
              <m:oMath>
                <m:r>
                  <m:rPr>
                    <m:nor/>
                  </m:rPr>
                  <m:t>1,0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–4</m:t>
                    </m:r>
                  </m:sup>
                </m:sSup>
              </m:oMath>
            </m:oMathPara>
          </w:p>
        </w:tc>
      </w:tr>
      <w:tr w:rsidR="00F02613" w:rsidTr="00F02613">
        <w:tc>
          <w:tcPr>
            <w:tcW w:w="2633" w:type="dxa"/>
          </w:tcPr>
          <w:p w:rsidR="00F02613" w:rsidRDefault="00F02613" w:rsidP="00F02613">
            <w:pPr>
              <w:pStyle w:val="ECEcorps"/>
              <w:jc w:val="center"/>
            </w:pPr>
            <w:r>
              <w:t xml:space="preserve">Absorbance </w:t>
            </w:r>
            <w:r w:rsidRPr="00D81E9B">
              <w:rPr>
                <w:i/>
                <w:iCs/>
              </w:rPr>
              <w:t>A</w:t>
            </w:r>
          </w:p>
        </w:tc>
        <w:tc>
          <w:tcPr>
            <w:tcW w:w="1285" w:type="dxa"/>
            <w:vAlign w:val="center"/>
          </w:tcPr>
          <w:p w:rsidR="00F02613" w:rsidRPr="000647A5" w:rsidRDefault="00445CA1" w:rsidP="00F02613">
            <w:pPr>
              <w:pStyle w:val="ECEcorps"/>
              <w:jc w:val="center"/>
            </w:pPr>
            <w:r>
              <w:t>…..</w:t>
            </w:r>
          </w:p>
        </w:tc>
        <w:tc>
          <w:tcPr>
            <w:tcW w:w="1286" w:type="dxa"/>
            <w:vAlign w:val="center"/>
          </w:tcPr>
          <w:p w:rsidR="00F02613" w:rsidRPr="000647A5" w:rsidRDefault="00445CA1" w:rsidP="00F02613">
            <w:pPr>
              <w:pStyle w:val="ECEcorps"/>
              <w:jc w:val="center"/>
            </w:pPr>
            <w:r>
              <w:t>…..</w:t>
            </w:r>
          </w:p>
        </w:tc>
        <w:tc>
          <w:tcPr>
            <w:tcW w:w="1286" w:type="dxa"/>
            <w:vAlign w:val="center"/>
          </w:tcPr>
          <w:p w:rsidR="00F02613" w:rsidRPr="000647A5" w:rsidRDefault="00445CA1" w:rsidP="00F02613">
            <w:pPr>
              <w:pStyle w:val="ECEcorps"/>
              <w:jc w:val="center"/>
            </w:pPr>
            <w:r>
              <w:t>…..</w:t>
            </w:r>
          </w:p>
        </w:tc>
        <w:tc>
          <w:tcPr>
            <w:tcW w:w="1286" w:type="dxa"/>
            <w:shd w:val="clear" w:color="auto" w:fill="BFBFBF" w:themeFill="background1" w:themeFillShade="BF"/>
            <w:vAlign w:val="center"/>
          </w:tcPr>
          <w:p w:rsidR="00F02613" w:rsidRPr="000647A5" w:rsidRDefault="00F02613" w:rsidP="00F02613">
            <w:pPr>
              <w:pStyle w:val="ECEcorps"/>
              <w:jc w:val="center"/>
            </w:pPr>
          </w:p>
        </w:tc>
        <w:tc>
          <w:tcPr>
            <w:tcW w:w="1286" w:type="dxa"/>
            <w:vAlign w:val="center"/>
          </w:tcPr>
          <w:p w:rsidR="00F02613" w:rsidRPr="000647A5" w:rsidRDefault="00445CA1" w:rsidP="00F02613">
            <w:pPr>
              <w:pStyle w:val="ECEcorps"/>
              <w:jc w:val="center"/>
            </w:pPr>
            <w:r>
              <w:t>..…</w:t>
            </w:r>
          </w:p>
        </w:tc>
      </w:tr>
    </w:tbl>
    <w:p w:rsidR="00F02613" w:rsidRDefault="00F02613" w:rsidP="000647A5">
      <w:pPr>
        <w:pStyle w:val="ECEcorps"/>
      </w:pPr>
    </w:p>
    <w:p w:rsidR="00F02613" w:rsidRDefault="00F02613" w:rsidP="00F02613">
      <w:pPr>
        <w:pStyle w:val="ECEcorps"/>
        <w:ind w:left="360"/>
        <w:rPr>
          <w:rFonts w:eastAsia="Arial Unicode MS"/>
        </w:rPr>
      </w:pPr>
    </w:p>
    <w:p w:rsidR="00F02613" w:rsidRDefault="00F02613" w:rsidP="00F02613">
      <w:pPr>
        <w:pStyle w:val="ECEcorps"/>
        <w:ind w:left="360"/>
        <w:rPr>
          <w:rFonts w:eastAsia="Arial Unicode MS"/>
        </w:rPr>
      </w:pPr>
    </w:p>
    <w:p w:rsidR="00F02613" w:rsidRDefault="00F02613" w:rsidP="00F02613">
      <w:pPr>
        <w:pStyle w:val="ECEcorps"/>
        <w:ind w:left="360"/>
        <w:rPr>
          <w:rFonts w:eastAsia="Arial Unicode MS"/>
        </w:rPr>
      </w:pPr>
    </w:p>
    <w:p w:rsidR="00F02613" w:rsidRPr="00F02613" w:rsidRDefault="00F02613" w:rsidP="00F02613">
      <w:pPr>
        <w:pStyle w:val="ECEcorps"/>
        <w:ind w:left="360"/>
        <w:rPr>
          <w:rFonts w:eastAsia="Arial Unicode MS"/>
        </w:rPr>
      </w:pPr>
    </w:p>
    <w:p w:rsidR="000647A5" w:rsidRPr="000647A5" w:rsidRDefault="000647A5" w:rsidP="008D5A51">
      <w:pPr>
        <w:pStyle w:val="ECEcorps"/>
        <w:numPr>
          <w:ilvl w:val="1"/>
          <w:numId w:val="4"/>
        </w:numPr>
        <w:rPr>
          <w:rFonts w:eastAsia="Arial Unicode MS"/>
        </w:rPr>
      </w:pPr>
      <w:r>
        <w:t>Proposer un protocole pour préparer, par dilution, la solution étalon</w:t>
      </w:r>
      <w:r w:rsidR="002101CF">
        <w:t xml:space="preserve"> </w:t>
      </w:r>
      <w:r w:rsidR="002101CF" w:rsidRPr="002101CF">
        <w:rPr>
          <w:rFonts w:ascii="Cambria Math" w:hAnsi="Cambria Math" w:cs="Cambria Math"/>
          <w:b/>
        </w:rPr>
        <w:t>S</w:t>
      </w:r>
      <w:r w:rsidR="002101CF" w:rsidRPr="002101CF">
        <w:rPr>
          <w:rFonts w:ascii="Cambria Math" w:hAnsi="Cambria Math" w:cs="Cambria Math"/>
          <w:b/>
          <w:vertAlign w:val="subscript"/>
        </w:rPr>
        <w:t>4</w:t>
      </w:r>
      <w:r w:rsidR="00CE0C27">
        <w:rPr>
          <w:rFonts w:cstheme="minorHAnsi"/>
        </w:rPr>
        <w:t xml:space="preserve"> à partir de la solution </w:t>
      </w:r>
      <w:r w:rsidR="002101CF" w:rsidRPr="002101CF">
        <w:rPr>
          <w:rFonts w:ascii="Cambria Math" w:hAnsi="Cambria Math" w:cs="Cambria Math"/>
          <w:b/>
        </w:rPr>
        <w:t>S</w:t>
      </w:r>
      <w:r w:rsidR="002101CF" w:rsidRPr="002101CF">
        <w:rPr>
          <w:rFonts w:ascii="Cambria Math" w:hAnsi="Cambria Math" w:cs="Cambria Math"/>
          <w:b/>
          <w:vertAlign w:val="subscript"/>
        </w:rPr>
        <w:t>1</w:t>
      </w:r>
      <w:r w:rsidR="00CE0C27">
        <w:rPr>
          <w:rFonts w:cstheme="minorHAnsi"/>
        </w:rPr>
        <w:t>.</w:t>
      </w:r>
    </w:p>
    <w:p w:rsidR="000647A5" w:rsidRDefault="000647A5" w:rsidP="000647A5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0647A5" w:rsidRDefault="000647A5" w:rsidP="000647A5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0647A5" w:rsidRDefault="000647A5" w:rsidP="000647A5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0647A5" w:rsidRDefault="000647A5" w:rsidP="000647A5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8D5A51" w:rsidRDefault="008D5A51" w:rsidP="008D5A51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BD1D3E" w:rsidRDefault="008D5A51" w:rsidP="000647A5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8D5A51" w:rsidRDefault="008D5A51" w:rsidP="000647A5">
      <w:pPr>
        <w:pStyle w:val="ECErponse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647A5" w:rsidRPr="00887D9D" w:rsidTr="003670A4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0647A5" w:rsidRPr="00887D9D" w:rsidRDefault="000647A5" w:rsidP="003670A4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0647A5" w:rsidRPr="00887D9D" w:rsidRDefault="000647A5" w:rsidP="003670A4">
            <w:pPr>
              <w:pStyle w:val="ECEappel"/>
              <w:framePr w:wrap="around"/>
            </w:pPr>
            <w:r w:rsidRPr="00887D9D">
              <w:t xml:space="preserve">APPEL </w:t>
            </w:r>
            <w:r w:rsidR="000D3BAF">
              <w:t>n°</w:t>
            </w:r>
            <w:r w:rsidR="00947176"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0647A5" w:rsidRPr="00887D9D" w:rsidRDefault="000647A5" w:rsidP="003670A4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647A5" w:rsidRPr="00887D9D" w:rsidTr="003670A4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0647A5" w:rsidRPr="00887D9D" w:rsidRDefault="000647A5" w:rsidP="003670A4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691C33" w:rsidRPr="00300B5B" w:rsidRDefault="000647A5" w:rsidP="00300B5B">
            <w:pPr>
              <w:pStyle w:val="ECEappel"/>
              <w:framePr w:wrap="around"/>
              <w:rPr>
                <w:b w:val="0"/>
                <w:bCs/>
                <w:i/>
                <w:iCs/>
              </w:rPr>
            </w:pPr>
            <w:r w:rsidRPr="00887D9D">
              <w:t xml:space="preserve">Appeler le professeur </w:t>
            </w:r>
            <w:r w:rsidR="00300B5B">
              <w:t>pour lui présenter la verrerie à utiliser 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0647A5" w:rsidRPr="00887D9D" w:rsidRDefault="000647A5" w:rsidP="003670A4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0647A5" w:rsidRPr="000647A5" w:rsidRDefault="005F2B43" w:rsidP="008D5A51">
      <w:pPr>
        <w:pStyle w:val="ECErponse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>Tracé</w:t>
      </w:r>
      <w:r w:rsidR="008D5A51">
        <w:rPr>
          <w:rFonts w:eastAsia="Arial Unicode MS"/>
        </w:rPr>
        <w:t xml:space="preserve"> de la droite d’étalonnage</w:t>
      </w:r>
    </w:p>
    <w:p w:rsidR="009616EF" w:rsidRPr="008D5A51" w:rsidRDefault="000647A5" w:rsidP="008D5A51">
      <w:pPr>
        <w:pStyle w:val="ECEcorps"/>
        <w:numPr>
          <w:ilvl w:val="0"/>
          <w:numId w:val="13"/>
        </w:numPr>
        <w:rPr>
          <w:rFonts w:cstheme="minorHAnsi"/>
        </w:rPr>
      </w:pPr>
      <w:r>
        <w:t>Préparer la solution étalon</w:t>
      </w:r>
      <w:r w:rsidR="002101CF">
        <w:t xml:space="preserve"> </w:t>
      </w:r>
      <w:r w:rsidR="002101CF" w:rsidRPr="002101CF">
        <w:rPr>
          <w:rFonts w:ascii="Cambria Math" w:hAnsi="Cambria Math" w:cs="Cambria Math"/>
          <w:b/>
        </w:rPr>
        <w:t>S</w:t>
      </w:r>
      <w:r w:rsidR="002101CF">
        <w:rPr>
          <w:rFonts w:ascii="Cambria Math" w:hAnsi="Cambria Math" w:cs="Cambria Math"/>
          <w:b/>
          <w:vertAlign w:val="subscript"/>
        </w:rPr>
        <w:t>4</w:t>
      </w:r>
      <w:r w:rsidR="009616EF">
        <w:rPr>
          <w:rFonts w:cstheme="minorHAnsi"/>
        </w:rPr>
        <w:t>.</w:t>
      </w:r>
    </w:p>
    <w:p w:rsidR="007F499D" w:rsidRPr="003042AE" w:rsidRDefault="003042AE" w:rsidP="008D5A51">
      <w:pPr>
        <w:pStyle w:val="ECEcorps"/>
        <w:numPr>
          <w:ilvl w:val="0"/>
          <w:numId w:val="13"/>
        </w:numPr>
        <w:rPr>
          <w:rFonts w:eastAsia="Arial Unicode MS"/>
        </w:rPr>
      </w:pPr>
      <w:r>
        <w:t>Mesurer l’a</w:t>
      </w:r>
      <w:r w:rsidR="00B8652E">
        <w:t xml:space="preserve">bsorbance de la solution étalon </w:t>
      </w:r>
      <w:r w:rsidR="002101CF" w:rsidRPr="002101CF">
        <w:rPr>
          <w:rFonts w:ascii="Cambria Math" w:hAnsi="Cambria Math" w:cs="Cambria Math"/>
          <w:b/>
        </w:rPr>
        <w:t>S</w:t>
      </w:r>
      <w:r w:rsidR="002101CF">
        <w:rPr>
          <w:rFonts w:ascii="Cambria Math" w:hAnsi="Cambria Math" w:cs="Cambria Math"/>
          <w:b/>
          <w:vertAlign w:val="subscript"/>
        </w:rPr>
        <w:t xml:space="preserve">4 </w:t>
      </w:r>
      <w:r w:rsidR="00E73630">
        <w:t xml:space="preserve">à la longueur d’onde de travail </w:t>
      </w:r>
      <w:r>
        <w:t>et compléter le tableau précédent.</w:t>
      </w:r>
    </w:p>
    <w:p w:rsidR="003042AE" w:rsidRDefault="007F499D" w:rsidP="008D5A51">
      <w:pPr>
        <w:pStyle w:val="ECEcorps"/>
        <w:numPr>
          <w:ilvl w:val="0"/>
          <w:numId w:val="13"/>
        </w:numPr>
      </w:pPr>
      <w:r>
        <w:t xml:space="preserve">Tracer la courbe d’étalonnage </w:t>
      </w:r>
      <m:oMath>
        <m:r>
          <m:rPr>
            <m:nor/>
          </m:rPr>
          <w:rPr>
            <w:i/>
            <w:iCs/>
          </w:rPr>
          <m:t>A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f(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I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</m:sub>
        </m:sSub>
        <m:r>
          <m:rPr>
            <m:nor/>
          </m:rPr>
          <m:t>)</m:t>
        </m:r>
      </m:oMath>
      <w:r>
        <w:rPr>
          <w:rFonts w:eastAsiaTheme="minorEastAsia"/>
        </w:rPr>
        <w:t xml:space="preserve"> </w:t>
      </w:r>
      <w:r>
        <w:t>sur un tableur-grapheur puis la modéliser.</w:t>
      </w:r>
    </w:p>
    <w:p w:rsidR="00F7014D" w:rsidRPr="007F499D" w:rsidRDefault="00F7014D" w:rsidP="0040125F">
      <w:pPr>
        <w:pStyle w:val="ECEcorps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7F499D" w:rsidTr="003670A4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7F499D" w:rsidRDefault="007F499D" w:rsidP="003670A4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7F499D" w:rsidRDefault="007F499D" w:rsidP="003670A4">
            <w:pPr>
              <w:pStyle w:val="ECEappel"/>
              <w:framePr w:wrap="around"/>
            </w:pPr>
            <w:r>
              <w:t>APPEL n°</w:t>
            </w:r>
            <w:r w:rsidR="00947176"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7F499D" w:rsidRDefault="007F499D" w:rsidP="003670A4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7F499D" w:rsidTr="003670A4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7F499D" w:rsidRPr="00592F79" w:rsidRDefault="007F499D" w:rsidP="003670A4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7F499D" w:rsidRPr="0009288D" w:rsidRDefault="007F499D" w:rsidP="003670A4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CE4EBA">
              <w:t>la courbe d’étalonnage</w:t>
            </w:r>
          </w:p>
          <w:p w:rsidR="007F499D" w:rsidRDefault="007F499D" w:rsidP="003670A4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7F499D" w:rsidRDefault="007F499D" w:rsidP="003670A4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444C0E" w:rsidRDefault="00444C0E" w:rsidP="007F499D">
      <w:pPr>
        <w:pStyle w:val="ECEcorps"/>
        <w:rPr>
          <w:rFonts w:eastAsia="Arial Unicode MS"/>
        </w:rPr>
      </w:pPr>
    </w:p>
    <w:p w:rsidR="00E26870" w:rsidRDefault="007F499D" w:rsidP="00E26870">
      <w:pPr>
        <w:pStyle w:val="ECEpartie"/>
        <w:rPr>
          <w:b w:val="0"/>
          <w:bCs/>
        </w:rPr>
      </w:pPr>
      <w:bookmarkStart w:id="10" w:name="_Toc482638816"/>
      <w:bookmarkStart w:id="11" w:name="_Toc500182693"/>
      <w:r>
        <w:t>Efficacité de l’extraction du diiode</w:t>
      </w:r>
      <w:r w:rsidR="00E26870" w:rsidRPr="003C13F9">
        <w:t xml:space="preserve"> </w:t>
      </w:r>
      <w:r w:rsidR="00E26870" w:rsidRPr="00FF78A1">
        <w:rPr>
          <w:b w:val="0"/>
          <w:bCs/>
        </w:rPr>
        <w:t>(</w:t>
      </w:r>
      <w:r w:rsidR="00BD1D3E">
        <w:rPr>
          <w:b w:val="0"/>
          <w:bCs/>
        </w:rPr>
        <w:t>25</w:t>
      </w:r>
      <w:r w:rsidR="00E26870" w:rsidRPr="00FF78A1">
        <w:rPr>
          <w:b w:val="0"/>
          <w:bCs/>
        </w:rPr>
        <w:t xml:space="preserve"> minutes conseillées)</w:t>
      </w:r>
      <w:bookmarkEnd w:id="10"/>
      <w:bookmarkEnd w:id="11"/>
    </w:p>
    <w:p w:rsidR="00FB113A" w:rsidRDefault="00FB113A" w:rsidP="00FB113A">
      <w:pPr>
        <w:pStyle w:val="ECEcorps"/>
      </w:pPr>
    </w:p>
    <w:p w:rsidR="00BC69D6" w:rsidRDefault="00BC69D6" w:rsidP="00BC69D6">
      <w:pPr>
        <w:pStyle w:val="ECEcorps"/>
        <w:numPr>
          <w:ilvl w:val="1"/>
          <w:numId w:val="4"/>
        </w:numPr>
        <w:rPr>
          <w:noProof/>
        </w:rPr>
      </w:pPr>
      <w:r>
        <w:t>Séparation des deux phases</w:t>
      </w:r>
    </w:p>
    <w:p w:rsidR="00BC69D6" w:rsidRDefault="005F2B43" w:rsidP="00BC69D6">
      <w:pPr>
        <w:pStyle w:val="ECEcorps"/>
        <w:numPr>
          <w:ilvl w:val="0"/>
          <w:numId w:val="14"/>
        </w:numPr>
        <w:rPr>
          <w:noProof/>
        </w:rPr>
      </w:pPr>
      <w:r>
        <w:rPr>
          <w:noProof/>
        </w:rPr>
        <w:t>R</w:t>
      </w:r>
      <w:r w:rsidR="00BC69D6">
        <w:rPr>
          <w:noProof/>
        </w:rPr>
        <w:t xml:space="preserve">écupérer la phase aqueuse </w:t>
      </w:r>
      <w:r w:rsidR="00974082">
        <w:rPr>
          <w:noProof/>
        </w:rPr>
        <w:t xml:space="preserve">de l’ampoule à décanter </w:t>
      </w:r>
      <w:r w:rsidR="00BC69D6">
        <w:rPr>
          <w:noProof/>
        </w:rPr>
        <w:t xml:space="preserve">dans un erlenmeyer propre. </w:t>
      </w:r>
    </w:p>
    <w:p w:rsidR="002101CF" w:rsidRDefault="002101CF" w:rsidP="002101CF">
      <w:pPr>
        <w:pStyle w:val="ECEcorps"/>
        <w:rPr>
          <w:noProof/>
        </w:rPr>
      </w:pPr>
    </w:p>
    <w:p w:rsidR="00BC69D6" w:rsidRPr="00C35D30" w:rsidRDefault="002101CF" w:rsidP="002101CF">
      <w:pPr>
        <w:pStyle w:val="ECEcorps"/>
        <w:rPr>
          <w:i/>
          <w:iCs/>
        </w:rPr>
      </w:pPr>
      <w:r>
        <w:rPr>
          <w:noProof/>
        </w:rPr>
        <w:t>L</w:t>
      </w:r>
      <w:r w:rsidR="00BC69D6" w:rsidRPr="00BC69D6">
        <w:rPr>
          <w:noProof/>
        </w:rPr>
        <w:t>a phase aqueuse</w:t>
      </w:r>
      <w:r>
        <w:rPr>
          <w:noProof/>
        </w:rPr>
        <w:t xml:space="preserve"> récupérée est nommée</w:t>
      </w:r>
      <w:r w:rsidR="00BC69D6" w:rsidRPr="00BC69D6">
        <w:rPr>
          <w:noProof/>
        </w:rPr>
        <w:t xml:space="preserve"> « </w:t>
      </w:r>
      <w:r w:rsidR="00BC69D6" w:rsidRPr="002101CF">
        <w:rPr>
          <w:b/>
          <w:noProof/>
        </w:rPr>
        <w:t>phase aqueuse lin</w:t>
      </w:r>
      <w:r w:rsidR="00BC69D6" w:rsidRPr="00BC69D6">
        <w:rPr>
          <w:noProof/>
        </w:rPr>
        <w:t> ».</w:t>
      </w:r>
    </w:p>
    <w:p w:rsidR="00B8652E" w:rsidRDefault="00B8652E">
      <w:pPr>
        <w:spacing w:line="240" w:lineRule="auto"/>
        <w:jc w:val="left"/>
        <w:rPr>
          <w:color w:val="auto"/>
        </w:rPr>
      </w:pPr>
      <w:r>
        <w:br w:type="page"/>
      </w:r>
    </w:p>
    <w:p w:rsidR="002101CF" w:rsidRDefault="00BC69D6" w:rsidP="00BC69D6">
      <w:pPr>
        <w:pStyle w:val="ECEcorps"/>
        <w:numPr>
          <w:ilvl w:val="1"/>
          <w:numId w:val="4"/>
        </w:numPr>
      </w:pPr>
      <w:r w:rsidRPr="00BC69D6">
        <w:lastRenderedPageBreak/>
        <w:t xml:space="preserve">La phase aqueuse récupérée contient plusieurs espèces chimiques. </w:t>
      </w:r>
    </w:p>
    <w:p w:rsidR="002101CF" w:rsidRDefault="002101CF" w:rsidP="002101CF">
      <w:pPr>
        <w:pStyle w:val="ECEcorps"/>
      </w:pPr>
    </w:p>
    <w:p w:rsidR="00BD1D3E" w:rsidRPr="00BC69D6" w:rsidRDefault="00E73630" w:rsidP="002101CF">
      <w:pPr>
        <w:pStyle w:val="ECEcorps"/>
      </w:pPr>
      <w:r>
        <w:t>À</w:t>
      </w:r>
      <w:r w:rsidR="00BD1D3E" w:rsidRPr="00BC69D6">
        <w:t xml:space="preserve"> l’aide des documents</w:t>
      </w:r>
      <w:r w:rsidR="00973DA1">
        <w:t xml:space="preserve"> fournis</w:t>
      </w:r>
      <w:r w:rsidR="00BD1D3E" w:rsidRPr="00BC69D6">
        <w:t xml:space="preserve">, justifier </w:t>
      </w:r>
      <w:r w:rsidR="002101CF">
        <w:t xml:space="preserve">le fait </w:t>
      </w:r>
      <w:r w:rsidR="00BD1D3E" w:rsidRPr="00BC69D6">
        <w:t>qu</w:t>
      </w:r>
      <w:r w:rsidR="00B05430">
        <w:t>’à</w:t>
      </w:r>
      <w:r w:rsidR="00BD1D3E" w:rsidRPr="00BC69D6">
        <w:t xml:space="preserve"> la </w:t>
      </w:r>
      <w:r w:rsidR="002101CF">
        <w:t>longueur d’onde choisie précédem</w:t>
      </w:r>
      <w:r w:rsidR="00BD1D3E" w:rsidRPr="00BC69D6">
        <w:t>ment</w:t>
      </w:r>
      <w:r w:rsidR="00B05430">
        <w:t>,</w:t>
      </w:r>
      <w:r w:rsidR="00BD1D3E" w:rsidRPr="00BC69D6">
        <w:t xml:space="preserve"> </w:t>
      </w:r>
      <w:r w:rsidR="002101CF">
        <w:t xml:space="preserve">on puisse considérer que </w:t>
      </w:r>
      <w:r w:rsidR="00BD1D3E" w:rsidRPr="00BC69D6">
        <w:t xml:space="preserve">l’absorbance </w:t>
      </w:r>
      <w:r w:rsidR="00B05430">
        <w:t>de la solution n’est due qu’à la présence de</w:t>
      </w:r>
      <w:r w:rsidR="00BC69D6" w:rsidRPr="00BC69D6">
        <w:t xml:space="preserve"> </w:t>
      </w:r>
      <w:r w:rsidR="00BD1D3E" w:rsidRPr="00BC69D6">
        <w:t>diiode</w:t>
      </w:r>
      <w:r w:rsidR="00B05430">
        <w:t>.</w:t>
      </w:r>
    </w:p>
    <w:p w:rsidR="00BD1D3E" w:rsidRDefault="00BD1D3E" w:rsidP="00BD1D3E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BD1D3E" w:rsidRDefault="00BD1D3E" w:rsidP="00BD1D3E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BD1D3E" w:rsidRDefault="00BD1D3E" w:rsidP="00BD1D3E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BD1D3E" w:rsidRDefault="00BD1D3E" w:rsidP="00BD1D3E">
      <w:pPr>
        <w:pStyle w:val="ECErpons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…………………………………………………………………………………………………………………………………….</w:t>
      </w:r>
    </w:p>
    <w:p w:rsidR="00947176" w:rsidRDefault="00947176" w:rsidP="00FB113A">
      <w:pPr>
        <w:pStyle w:val="ECEcorps"/>
      </w:pPr>
    </w:p>
    <w:p w:rsidR="008B2E1C" w:rsidRPr="00E92229" w:rsidRDefault="00B05430" w:rsidP="00FB113A">
      <w:pPr>
        <w:pStyle w:val="ECEcorps"/>
      </w:pPr>
      <w:r>
        <w:t xml:space="preserve">L’extraction </w:t>
      </w:r>
      <w:r w:rsidR="00373812" w:rsidRPr="007B715E">
        <w:rPr>
          <w:noProof/>
        </w:rPr>
        <w:t>d</w:t>
      </w:r>
      <w:r w:rsidR="00373812">
        <w:rPr>
          <w:noProof/>
        </w:rPr>
        <w:t>e la solution</w:t>
      </w:r>
      <w:r w:rsidR="00373812" w:rsidRPr="007B715E">
        <w:rPr>
          <w:noProof/>
        </w:rPr>
        <w:t xml:space="preserve"> </w:t>
      </w:r>
      <w:r w:rsidR="00373812">
        <w:rPr>
          <w:b/>
          <w:bCs/>
          <w:noProof/>
        </w:rPr>
        <w:t>S</w:t>
      </w:r>
      <w:r w:rsidR="008B2E1C" w:rsidRPr="00E92229">
        <w:t xml:space="preserve"> </w:t>
      </w:r>
      <w:r>
        <w:t xml:space="preserve">a été effectuée </w:t>
      </w:r>
      <w:r w:rsidR="008B2E1C" w:rsidRPr="00E92229">
        <w:t>dans les mêmes conditions</w:t>
      </w:r>
      <w:r>
        <w:t xml:space="preserve"> que précédemment</w:t>
      </w:r>
      <w:r w:rsidR="008B2E1C" w:rsidRPr="00E92229">
        <w:t xml:space="preserve"> avec du cyclohexane</w:t>
      </w:r>
      <w:r>
        <w:t xml:space="preserve">. La </w:t>
      </w:r>
      <w:r w:rsidR="008B2E1C" w:rsidRPr="00E92229">
        <w:t>phase aqueuse</w:t>
      </w:r>
      <w:r>
        <w:t xml:space="preserve"> recueillie</w:t>
      </w:r>
      <w:r w:rsidR="008B2E1C" w:rsidRPr="00E92229">
        <w:t xml:space="preserve"> </w:t>
      </w:r>
      <w:r>
        <w:t xml:space="preserve">après décantation est notée </w:t>
      </w:r>
      <w:r w:rsidR="008B2E1C" w:rsidRPr="00E92229">
        <w:t>« </w:t>
      </w:r>
      <w:r w:rsidR="008B2E1C" w:rsidRPr="002101CF">
        <w:rPr>
          <w:b/>
        </w:rPr>
        <w:t>phase aqueuse cyclohexane</w:t>
      </w:r>
      <w:r w:rsidR="008B2E1C" w:rsidRPr="00E92229">
        <w:t> ».</w:t>
      </w:r>
    </w:p>
    <w:p w:rsidR="00E74820" w:rsidRDefault="00FB113A" w:rsidP="00FB113A">
      <w:r>
        <w:t>Pour comparer l’efficacité des deux extractions, on peut déterminer leurs rendements respectifs.</w:t>
      </w:r>
    </w:p>
    <w:p w:rsidR="00F02613" w:rsidRDefault="00F02613" w:rsidP="00FB113A"/>
    <w:p w:rsidR="00E74820" w:rsidRPr="00CE0C27" w:rsidRDefault="00FB113A" w:rsidP="007F1D47">
      <w:pPr>
        <w:pStyle w:val="ECEcorps"/>
        <w:numPr>
          <w:ilvl w:val="1"/>
          <w:numId w:val="4"/>
        </w:numPr>
      </w:pPr>
      <w:r>
        <w:t>Mesurer les absorbances</w:t>
      </w:r>
      <w:r w:rsidR="00BD1D3E">
        <w:t xml:space="preserve">, à la longueur d’onde </w:t>
      </w:r>
      <m:oMath>
        <m:r>
          <m:rPr>
            <m:nor/>
          </m:rPr>
          <m:t>λ</m:t>
        </m:r>
        <m:r>
          <w:rPr>
            <w:rFonts w:ascii="Cambria Math" w:hAnsi="Cambria Math"/>
          </w:rPr>
          <m:t>=</m:t>
        </m:r>
      </m:oMath>
      <w:r w:rsidR="00B8652E">
        <w:t xml:space="preserve"> </w:t>
      </w:r>
      <w:r w:rsidR="00100231">
        <w:t>475</w:t>
      </w:r>
      <w:r w:rsidR="00BD1D3E">
        <w:t xml:space="preserve"> nm,</w:t>
      </w:r>
      <w:r>
        <w:t xml:space="preserve"> des deux </w:t>
      </w:r>
      <w:r w:rsidR="004677CA">
        <w:t>phases aqueuses</w:t>
      </w:r>
      <w:r>
        <w:t xml:space="preserve"> extraites</w:t>
      </w:r>
      <w:r w:rsidRPr="002101CF">
        <w:rPr>
          <w:rFonts w:eastAsiaTheme="minorEastAsia"/>
        </w:rPr>
        <w:t xml:space="preserve"> puis d</w:t>
      </w:r>
      <w:r>
        <w:t xml:space="preserve">éterminer leurs concentrations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I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r>
              <m:rPr>
                <m:nor/>
              </m:rPr>
              <m:t xml:space="preserve"> restant</m:t>
            </m:r>
          </m:sub>
        </m:sSub>
      </m:oMath>
      <w:r w:rsidR="002101CF">
        <w:t xml:space="preserve"> </w:t>
      </w:r>
      <w:r>
        <w:t xml:space="preserve">en quantité de matière de diiode </w:t>
      </w:r>
      <w:r w:rsidR="00703985">
        <w:t>restant</w:t>
      </w:r>
      <w:r w:rsidR="000A7908">
        <w:t xml:space="preserve"> dans la phase aqueuse</w:t>
      </w:r>
      <w:r w:rsidR="00703985">
        <w:t xml:space="preserve"> </w:t>
      </w:r>
      <w:r w:rsidR="00C35D30">
        <w:t xml:space="preserve">et compléter </w:t>
      </w:r>
      <w:r>
        <w:t>le tableau ci-après : 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3686"/>
        <w:gridCol w:w="3883"/>
      </w:tblGrid>
      <w:tr w:rsidR="00FB113A" w:rsidRPr="00FB113A" w:rsidTr="00C86C7B">
        <w:trPr>
          <w:trHeight w:val="516"/>
          <w:jc w:val="center"/>
        </w:trPr>
        <w:tc>
          <w:tcPr>
            <w:tcW w:w="1843" w:type="dxa"/>
            <w:tcBorders>
              <w:top w:val="nil"/>
              <w:left w:val="nil"/>
            </w:tcBorders>
            <w:vAlign w:val="center"/>
          </w:tcPr>
          <w:p w:rsidR="00FB113A" w:rsidRPr="002101CF" w:rsidRDefault="00FB113A" w:rsidP="00FB113A">
            <w:pPr>
              <w:jc w:val="center"/>
              <w:rPr>
                <w:color w:val="auto"/>
                <w:sz w:val="18"/>
              </w:rPr>
            </w:pPr>
          </w:p>
        </w:tc>
        <w:tc>
          <w:tcPr>
            <w:tcW w:w="3686" w:type="dxa"/>
            <w:vAlign w:val="center"/>
          </w:tcPr>
          <w:p w:rsidR="00FB113A" w:rsidRPr="002101CF" w:rsidRDefault="00B05430" w:rsidP="00FB113A">
            <w:pPr>
              <w:jc w:val="center"/>
              <w:rPr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 xml:space="preserve">Solution </w:t>
            </w:r>
            <w:r w:rsidRPr="002101CF">
              <w:rPr>
                <w:b/>
                <w:bCs/>
                <w:iCs/>
                <w:color w:val="auto"/>
                <w:sz w:val="18"/>
              </w:rPr>
              <w:t>S</w:t>
            </w:r>
            <w:r w:rsidRPr="002101CF">
              <w:rPr>
                <w:iCs/>
                <w:color w:val="auto"/>
                <w:sz w:val="18"/>
              </w:rPr>
              <w:t xml:space="preserve"> extraite</w:t>
            </w:r>
            <w:r w:rsidR="00FB113A" w:rsidRPr="002101CF">
              <w:rPr>
                <w:iCs/>
                <w:color w:val="auto"/>
                <w:sz w:val="18"/>
              </w:rPr>
              <w:t xml:space="preserve"> avec l’huile de lin</w:t>
            </w:r>
          </w:p>
          <w:p w:rsidR="008B2E1C" w:rsidRPr="002101CF" w:rsidRDefault="00904632" w:rsidP="00FB113A">
            <w:pPr>
              <w:jc w:val="center"/>
              <w:rPr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>« </w:t>
            </w:r>
            <w:r w:rsidRPr="002101CF">
              <w:rPr>
                <w:b/>
                <w:iCs/>
                <w:color w:val="auto"/>
                <w:sz w:val="18"/>
              </w:rPr>
              <w:t>phase aqueuse lin</w:t>
            </w:r>
            <w:r w:rsidRPr="002101CF">
              <w:rPr>
                <w:iCs/>
                <w:color w:val="auto"/>
                <w:sz w:val="18"/>
              </w:rPr>
              <w:t> »</w:t>
            </w:r>
          </w:p>
        </w:tc>
        <w:tc>
          <w:tcPr>
            <w:tcW w:w="3883" w:type="dxa"/>
            <w:vAlign w:val="center"/>
          </w:tcPr>
          <w:p w:rsidR="00FB113A" w:rsidRPr="002101CF" w:rsidRDefault="00C86C7B" w:rsidP="00FB113A">
            <w:pPr>
              <w:jc w:val="center"/>
              <w:rPr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 xml:space="preserve">Solution </w:t>
            </w:r>
            <w:r w:rsidRPr="002101CF">
              <w:rPr>
                <w:b/>
                <w:bCs/>
                <w:iCs/>
                <w:color w:val="auto"/>
                <w:sz w:val="18"/>
              </w:rPr>
              <w:t>S</w:t>
            </w:r>
            <w:r w:rsidRPr="002101CF">
              <w:rPr>
                <w:iCs/>
                <w:color w:val="auto"/>
                <w:sz w:val="18"/>
              </w:rPr>
              <w:t xml:space="preserve"> extraite </w:t>
            </w:r>
            <w:r w:rsidR="00FB113A" w:rsidRPr="002101CF">
              <w:rPr>
                <w:iCs/>
                <w:color w:val="auto"/>
                <w:sz w:val="18"/>
              </w:rPr>
              <w:t>avec le cyclohexane</w:t>
            </w:r>
          </w:p>
          <w:p w:rsidR="00904632" w:rsidRPr="002101CF" w:rsidRDefault="00904632" w:rsidP="00FB113A">
            <w:pPr>
              <w:jc w:val="center"/>
              <w:rPr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>« </w:t>
            </w:r>
            <w:r w:rsidRPr="002101CF">
              <w:rPr>
                <w:b/>
                <w:iCs/>
                <w:color w:val="auto"/>
                <w:sz w:val="18"/>
              </w:rPr>
              <w:t>phase aqueuse cyclohexane</w:t>
            </w:r>
            <w:r w:rsidRPr="002101CF">
              <w:rPr>
                <w:iCs/>
                <w:color w:val="auto"/>
                <w:sz w:val="18"/>
              </w:rPr>
              <w:t> »</w:t>
            </w:r>
          </w:p>
        </w:tc>
      </w:tr>
      <w:tr w:rsidR="00FB113A" w:rsidRPr="00FB113A" w:rsidTr="002101CF">
        <w:trPr>
          <w:trHeight w:val="323"/>
          <w:jc w:val="center"/>
        </w:trPr>
        <w:tc>
          <w:tcPr>
            <w:tcW w:w="1843" w:type="dxa"/>
            <w:vAlign w:val="center"/>
          </w:tcPr>
          <w:p w:rsidR="00FB113A" w:rsidRPr="002101CF" w:rsidRDefault="00FB113A" w:rsidP="00FB113A">
            <w:pPr>
              <w:jc w:val="center"/>
              <w:rPr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>Absorbance</w:t>
            </w:r>
          </w:p>
        </w:tc>
        <w:tc>
          <w:tcPr>
            <w:tcW w:w="3686" w:type="dxa"/>
            <w:vAlign w:val="center"/>
          </w:tcPr>
          <w:p w:rsidR="00F02613" w:rsidRPr="002101CF" w:rsidRDefault="00F02613" w:rsidP="00F02613">
            <w:pPr>
              <w:jc w:val="center"/>
              <w:rPr>
                <w:color w:val="auto"/>
                <w:sz w:val="18"/>
              </w:rPr>
            </w:pPr>
          </w:p>
        </w:tc>
        <w:tc>
          <w:tcPr>
            <w:tcW w:w="3883" w:type="dxa"/>
            <w:vAlign w:val="center"/>
          </w:tcPr>
          <w:p w:rsidR="00FB113A" w:rsidRPr="002101CF" w:rsidRDefault="00FB113A" w:rsidP="00FB113A">
            <w:pPr>
              <w:jc w:val="center"/>
              <w:rPr>
                <w:color w:val="auto"/>
                <w:sz w:val="18"/>
              </w:rPr>
            </w:pPr>
          </w:p>
        </w:tc>
      </w:tr>
      <w:tr w:rsidR="00060E0E" w:rsidRPr="00FB113A" w:rsidTr="002101CF">
        <w:trPr>
          <w:trHeight w:val="852"/>
          <w:jc w:val="center"/>
        </w:trPr>
        <w:tc>
          <w:tcPr>
            <w:tcW w:w="1843" w:type="dxa"/>
            <w:vAlign w:val="center"/>
          </w:tcPr>
          <w:p w:rsidR="00060E0E" w:rsidRPr="002101CF" w:rsidRDefault="00060E0E" w:rsidP="00962E10">
            <w:pPr>
              <w:jc w:val="center"/>
              <w:rPr>
                <w:i/>
                <w:iCs/>
                <w:color w:val="auto"/>
                <w:sz w:val="18"/>
              </w:rPr>
            </w:pPr>
            <w:r w:rsidRPr="002101CF">
              <w:rPr>
                <w:iCs/>
                <w:color w:val="auto"/>
                <w:sz w:val="18"/>
              </w:rPr>
              <w:t>Concentration en quantité de matière de diiode</w:t>
            </w:r>
            <w:r w:rsidR="00962E10" w:rsidRPr="002101CF">
              <w:rPr>
                <w:i/>
                <w:iCs/>
                <w:color w:val="auto"/>
                <w:sz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  <w:sz w:val="18"/>
                    </w:rPr>
                    <m:t>C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18"/>
                        </w:rPr>
                        <m:t>I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18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sz w:val="18"/>
                    </w:rPr>
                    <m:t xml:space="preserve"> restant</m:t>
                  </m:r>
                </m:sub>
              </m:sSub>
            </m:oMath>
          </w:p>
        </w:tc>
        <w:tc>
          <w:tcPr>
            <w:tcW w:w="3686" w:type="dxa"/>
          </w:tcPr>
          <w:p w:rsidR="00060E0E" w:rsidRPr="002101CF" w:rsidRDefault="00060E0E" w:rsidP="00F7014D">
            <w:pPr>
              <w:pStyle w:val="ECErponse"/>
              <w:rPr>
                <w:bCs w:val="0"/>
                <w:sz w:val="18"/>
              </w:rPr>
            </w:pPr>
          </w:p>
        </w:tc>
        <w:tc>
          <w:tcPr>
            <w:tcW w:w="3883" w:type="dxa"/>
          </w:tcPr>
          <w:p w:rsidR="00060E0E" w:rsidRPr="002101CF" w:rsidRDefault="00060E0E" w:rsidP="00F7014D">
            <w:pPr>
              <w:pStyle w:val="ECErponse"/>
              <w:rPr>
                <w:bCs w:val="0"/>
                <w:sz w:val="18"/>
              </w:rPr>
            </w:pPr>
          </w:p>
        </w:tc>
      </w:tr>
    </w:tbl>
    <w:p w:rsidR="00D37E45" w:rsidRDefault="00D37E45" w:rsidP="00FB113A">
      <w:pPr>
        <w:pStyle w:val="ECEcorps"/>
        <w:rPr>
          <w:b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C35D30" w:rsidTr="002A3C16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C35D30" w:rsidRDefault="00C35D30" w:rsidP="002A3C16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C35D30" w:rsidRDefault="00C35D30" w:rsidP="002A3C16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C35D30" w:rsidRDefault="00C35D30" w:rsidP="002A3C16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C35D30" w:rsidTr="002A3C16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C35D30" w:rsidRPr="00592F79" w:rsidRDefault="00C35D30" w:rsidP="002A3C16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C35D30" w:rsidRPr="0009288D" w:rsidRDefault="00C35D30" w:rsidP="002A3C16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les résultats expérimentaux</w:t>
            </w:r>
          </w:p>
          <w:p w:rsidR="00C35D30" w:rsidRPr="00444C0E" w:rsidRDefault="00C35D30" w:rsidP="002A3C16">
            <w:pPr>
              <w:pStyle w:val="ECEappel"/>
              <w:framePr w:wrap="around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C35D30" w:rsidRDefault="00C35D30" w:rsidP="002A3C16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C35D30" w:rsidRDefault="00C35D30" w:rsidP="00FB113A">
      <w:pPr>
        <w:pStyle w:val="ECEcorps"/>
        <w:rPr>
          <w:b/>
        </w:rPr>
      </w:pPr>
    </w:p>
    <w:p w:rsidR="00060E0E" w:rsidRPr="00C35D30" w:rsidRDefault="00384BEB" w:rsidP="00BC69D6">
      <w:pPr>
        <w:pStyle w:val="ECEcorps"/>
        <w:numPr>
          <w:ilvl w:val="1"/>
          <w:numId w:val="4"/>
        </w:numPr>
        <w:rPr>
          <w:b/>
        </w:rPr>
      </w:pPr>
      <w:r>
        <w:t xml:space="preserve">Calculer les rendements des deux extractions sachant </w:t>
      </w:r>
      <w:r w:rsidR="00645D18">
        <w:t xml:space="preserve">que la </w:t>
      </w:r>
      <w:r w:rsidR="005A3D1D">
        <w:t>concentration en quantité de matière initiale de</w:t>
      </w:r>
      <w:r w:rsidR="002101CF">
        <w:t xml:space="preserve"> diiode dans le mélange était :</w:t>
      </w:r>
      <w:r w:rsidR="00645D18" w:rsidRPr="00645D18">
        <w:rPr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C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I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r>
              <m:rPr>
                <m:nor/>
              </m:rPr>
              <m:t xml:space="preserve"> initial</m:t>
            </m:r>
          </m:sub>
        </m:sSub>
        <m:r>
          <w:rPr>
            <w:rFonts w:ascii="Cambria Math" w:hAnsi="Cambria Math"/>
          </w:rPr>
          <m:t>=</m:t>
        </m:r>
        <m:r>
          <m:rPr>
            <m:nor/>
          </m:rPr>
          <m:t>2,5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×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10</m:t>
            </m:r>
          </m:e>
          <m:sup>
            <m:r>
              <m:rPr>
                <m:nor/>
              </m:rPr>
              <m:t>–3</m:t>
            </m:r>
          </m:sup>
        </m:sSup>
        <m:r>
          <m:rPr>
            <m:nor/>
          </m:rPr>
          <m:t xml:space="preserve"> mol</m:t>
        </m:r>
        <m:r>
          <m:rPr>
            <m:nor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L</m:t>
            </m:r>
          </m:e>
          <m:sup>
            <m:r>
              <m:rPr>
                <m:nor/>
              </m:rPr>
              <m:t>-1</m:t>
            </m:r>
          </m:sup>
        </m:sSup>
      </m:oMath>
      <w:r w:rsidR="00645D18">
        <w:t>.</w:t>
      </w:r>
    </w:p>
    <w:p w:rsidR="00C35D30" w:rsidRPr="00645D18" w:rsidRDefault="00C35D30" w:rsidP="00C35D30">
      <w:pPr>
        <w:pStyle w:val="ECEcorps"/>
        <w:rPr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75"/>
        <w:gridCol w:w="5075"/>
      </w:tblGrid>
      <w:tr w:rsidR="00FB113A" w:rsidTr="00645D18">
        <w:trPr>
          <w:trHeight w:val="283"/>
          <w:jc w:val="center"/>
        </w:trPr>
        <w:tc>
          <w:tcPr>
            <w:tcW w:w="5075" w:type="dxa"/>
            <w:vAlign w:val="center"/>
          </w:tcPr>
          <w:p w:rsidR="00FB113A" w:rsidRPr="002101CF" w:rsidRDefault="00FB113A" w:rsidP="00E74820">
            <w:pPr>
              <w:jc w:val="center"/>
              <w:rPr>
                <w:iCs/>
              </w:rPr>
            </w:pPr>
            <w:r w:rsidRPr="002101CF">
              <w:rPr>
                <w:iCs/>
              </w:rPr>
              <w:t xml:space="preserve">Rendement de l’extraction avec l’huile de lin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r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1</m:t>
                  </m:r>
                </m:sub>
              </m:sSub>
            </m:oMath>
          </w:p>
        </w:tc>
        <w:tc>
          <w:tcPr>
            <w:tcW w:w="5075" w:type="dxa"/>
            <w:vAlign w:val="center"/>
          </w:tcPr>
          <w:p w:rsidR="00FB113A" w:rsidRPr="002101CF" w:rsidRDefault="00FB113A" w:rsidP="00E74820">
            <w:pPr>
              <w:jc w:val="center"/>
              <w:rPr>
                <w:iCs/>
              </w:rPr>
            </w:pPr>
            <w:r w:rsidRPr="002101CF">
              <w:rPr>
                <w:iCs/>
              </w:rPr>
              <w:t>Rendement de l’extraction avec le cyclohexane</w:t>
            </w:r>
            <w:r w:rsidR="005120F9" w:rsidRPr="002101CF">
              <w:rPr>
                <w:i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r</m:t>
                  </m:r>
                </m:e>
                <m:sub>
                  <m:r>
                    <m:rPr>
                      <m:nor/>
                    </m:rPr>
                    <w:rPr>
                      <w:i/>
                      <w:iCs/>
                    </w:rPr>
                    <m:t>2</m:t>
                  </m:r>
                </m:sub>
              </m:sSub>
            </m:oMath>
          </w:p>
        </w:tc>
      </w:tr>
      <w:tr w:rsidR="00EC4C9E" w:rsidTr="00645D18">
        <w:trPr>
          <w:trHeight w:val="454"/>
          <w:jc w:val="center"/>
        </w:trPr>
        <w:tc>
          <w:tcPr>
            <w:tcW w:w="5075" w:type="dxa"/>
          </w:tcPr>
          <w:p w:rsidR="00645D18" w:rsidRDefault="00645D18" w:rsidP="00F02613">
            <w:pPr>
              <w:pStyle w:val="ECErponse"/>
              <w:jc w:val="left"/>
            </w:pPr>
          </w:p>
          <w:p w:rsidR="00F02613" w:rsidRDefault="00F02613" w:rsidP="00F02613">
            <w:pPr>
              <w:pStyle w:val="ECErponse"/>
              <w:jc w:val="left"/>
            </w:pPr>
          </w:p>
        </w:tc>
        <w:tc>
          <w:tcPr>
            <w:tcW w:w="5075" w:type="dxa"/>
          </w:tcPr>
          <w:p w:rsidR="00645D18" w:rsidRDefault="00645D18" w:rsidP="00F02613">
            <w:pPr>
              <w:pStyle w:val="ECErponse"/>
            </w:pPr>
          </w:p>
        </w:tc>
      </w:tr>
    </w:tbl>
    <w:p w:rsidR="00FB113A" w:rsidRDefault="00FB113A" w:rsidP="00FB113A">
      <w:pPr>
        <w:pStyle w:val="ECEpartie"/>
        <w:numPr>
          <w:ilvl w:val="0"/>
          <w:numId w:val="0"/>
        </w:numPr>
        <w:rPr>
          <w:sz w:val="18"/>
          <w:szCs w:val="18"/>
        </w:rPr>
      </w:pPr>
    </w:p>
    <w:p w:rsidR="00E74820" w:rsidRDefault="002101CF" w:rsidP="00BC69D6">
      <w:pPr>
        <w:pStyle w:val="ECEcorps"/>
        <w:numPr>
          <w:ilvl w:val="1"/>
          <w:numId w:val="4"/>
        </w:numPr>
      </w:pPr>
      <w:r>
        <w:t>D’après les résultats ci-dessus, q</w:t>
      </w:r>
      <w:r w:rsidR="00E74820" w:rsidRPr="00DD777F">
        <w:t>uel est le solvant le plus adapté à l’extraction du diiode ? Justifier</w:t>
      </w:r>
      <w:r w:rsidR="00E92229">
        <w:t>.</w:t>
      </w:r>
    </w:p>
    <w:p w:rsidR="00E74820" w:rsidRDefault="00E74820" w:rsidP="00E74820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E74820" w:rsidRDefault="00E74820" w:rsidP="00E74820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E74820" w:rsidRDefault="00E74820" w:rsidP="00EC4C9E">
      <w:pPr>
        <w:pStyle w:val="ECErponse"/>
      </w:pPr>
      <w:r>
        <w:t>……………………………………………………………………………………………………………………………………</w:t>
      </w:r>
      <w:r w:rsidR="00CB40E4">
        <w:t>…</w:t>
      </w:r>
    </w:p>
    <w:p w:rsidR="00C35D30" w:rsidRDefault="00C35D30" w:rsidP="00EC4C9E">
      <w:pPr>
        <w:pStyle w:val="ECErponse"/>
      </w:pPr>
      <w:r>
        <w:t>………………………………………………………………………………………………………………………………………</w:t>
      </w:r>
    </w:p>
    <w:p w:rsidR="007D679C" w:rsidRDefault="007D679C" w:rsidP="00337F03">
      <w:pPr>
        <w:pStyle w:val="ECEcorps"/>
        <w:rPr>
          <w:b/>
        </w:rPr>
      </w:pPr>
    </w:p>
    <w:p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13"/>
      <w:footerReference w:type="default" r:id="rId14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A8" w:rsidRDefault="00631FA8" w:rsidP="0008058B">
      <w:r>
        <w:separator/>
      </w:r>
    </w:p>
  </w:endnote>
  <w:endnote w:type="continuationSeparator" w:id="0">
    <w:p w:rsidR="00631FA8" w:rsidRDefault="00631FA8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8D4693" w:rsidRPr="00827238">
      <w:fldChar w:fldCharType="begin"/>
    </w:r>
    <w:r w:rsidRPr="00827238">
      <w:instrText xml:space="preserve"> PAGE </w:instrText>
    </w:r>
    <w:r w:rsidR="008D4693" w:rsidRPr="00827238">
      <w:fldChar w:fldCharType="separate"/>
    </w:r>
    <w:r w:rsidR="001F5C2E">
      <w:rPr>
        <w:noProof/>
      </w:rPr>
      <w:t>5</w:t>
    </w:r>
    <w:r w:rsidR="008D4693" w:rsidRPr="00827238">
      <w:rPr>
        <w:noProof/>
      </w:rPr>
      <w:fldChar w:fldCharType="end"/>
    </w:r>
    <w:r w:rsidRPr="00827238">
      <w:t xml:space="preserve"> sur </w:t>
    </w:r>
    <w:r w:rsidR="008D4693">
      <w:fldChar w:fldCharType="begin"/>
    </w:r>
    <w:r w:rsidR="00DB05E8">
      <w:instrText xml:space="preserve"> NUMPAGES  </w:instrText>
    </w:r>
    <w:r w:rsidR="008D4693">
      <w:fldChar w:fldCharType="separate"/>
    </w:r>
    <w:r w:rsidR="001F5C2E">
      <w:rPr>
        <w:noProof/>
      </w:rPr>
      <w:t>5</w:t>
    </w:r>
    <w:r w:rsidR="008D469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A8" w:rsidRDefault="00631FA8" w:rsidP="0008058B">
      <w:r>
        <w:separator/>
      </w:r>
    </w:p>
  </w:footnote>
  <w:footnote w:type="continuationSeparator" w:id="0">
    <w:p w:rsidR="00631FA8" w:rsidRDefault="00631FA8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969" w:rsidRDefault="00BD1D3E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rPr>
        <w:b/>
        <w:sz w:val="24"/>
        <w:szCs w:val="24"/>
      </w:rPr>
      <w:t>EFFICACIT</w:t>
    </w:r>
    <w:r w:rsidR="008D5A51" w:rsidRPr="007146B9">
      <w:rPr>
        <w:rFonts w:eastAsia="Arial Unicode MS"/>
        <w:b/>
        <w:sz w:val="24"/>
        <w:szCs w:val="24"/>
      </w:rPr>
      <w:t>É</w:t>
    </w:r>
    <w:r>
      <w:rPr>
        <w:b/>
        <w:sz w:val="24"/>
        <w:szCs w:val="24"/>
      </w:rPr>
      <w:t xml:space="preserve"> COMPAR</w:t>
    </w:r>
    <w:r w:rsidR="008D5A51" w:rsidRPr="007146B9">
      <w:rPr>
        <w:rFonts w:eastAsia="Arial Unicode MS"/>
        <w:b/>
        <w:sz w:val="24"/>
        <w:szCs w:val="24"/>
      </w:rPr>
      <w:t>É</w:t>
    </w:r>
    <w:r>
      <w:rPr>
        <w:b/>
        <w:sz w:val="24"/>
        <w:szCs w:val="24"/>
      </w:rPr>
      <w:t>E</w:t>
    </w:r>
    <w:r>
      <w:tab/>
      <w:t>S</w:t>
    </w:r>
    <w:r w:rsidR="00F02613">
      <w:t>ession</w:t>
    </w:r>
  </w:p>
  <w:p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E46F62">
      <w:t>4</w:t>
    </w:r>
  </w:p>
  <w:p w:rsidR="008D4A30" w:rsidRDefault="008D4A30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EE0672"/>
    <w:multiLevelType w:val="hybridMultilevel"/>
    <w:tmpl w:val="681A2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404C2"/>
    <w:multiLevelType w:val="hybridMultilevel"/>
    <w:tmpl w:val="5ED455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53B27"/>
    <w:multiLevelType w:val="hybridMultilevel"/>
    <w:tmpl w:val="FB825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905CE"/>
    <w:multiLevelType w:val="multilevel"/>
    <w:tmpl w:val="4D5C247E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E8F1499"/>
    <w:multiLevelType w:val="hybridMultilevel"/>
    <w:tmpl w:val="1EBA1526"/>
    <w:lvl w:ilvl="0" w:tplc="C14AB5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B08FB"/>
    <w:multiLevelType w:val="hybridMultilevel"/>
    <w:tmpl w:val="525635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0"/>
  </w:num>
  <w:num w:numId="8">
    <w:abstractNumId w:val="10"/>
  </w:num>
  <w:num w:numId="9">
    <w:abstractNumId w:val="8"/>
  </w:num>
  <w:num w:numId="10">
    <w:abstractNumId w:val="7"/>
  </w:num>
  <w:num w:numId="11">
    <w:abstractNumId w:val="9"/>
  </w:num>
  <w:num w:numId="12">
    <w:abstractNumId w:val="2"/>
  </w:num>
  <w:num w:numId="13">
    <w:abstractNumId w:val="3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606"/>
    <w:rsid w:val="000007E9"/>
    <w:rsid w:val="00004673"/>
    <w:rsid w:val="00024878"/>
    <w:rsid w:val="0003098E"/>
    <w:rsid w:val="0003163B"/>
    <w:rsid w:val="0003345D"/>
    <w:rsid w:val="00036419"/>
    <w:rsid w:val="00041F83"/>
    <w:rsid w:val="000452AF"/>
    <w:rsid w:val="0005057E"/>
    <w:rsid w:val="0005391B"/>
    <w:rsid w:val="00060606"/>
    <w:rsid w:val="00060E0E"/>
    <w:rsid w:val="000647A5"/>
    <w:rsid w:val="00065B04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908"/>
    <w:rsid w:val="000A7BEB"/>
    <w:rsid w:val="000A7E22"/>
    <w:rsid w:val="000B47B0"/>
    <w:rsid w:val="000C0C10"/>
    <w:rsid w:val="000C6CB3"/>
    <w:rsid w:val="000D3BAF"/>
    <w:rsid w:val="000D3D7B"/>
    <w:rsid w:val="000D4C7E"/>
    <w:rsid w:val="000E11E8"/>
    <w:rsid w:val="000E6CD3"/>
    <w:rsid w:val="000F09CE"/>
    <w:rsid w:val="000F2199"/>
    <w:rsid w:val="000F4F58"/>
    <w:rsid w:val="000F5562"/>
    <w:rsid w:val="000F78DA"/>
    <w:rsid w:val="00100231"/>
    <w:rsid w:val="00103F12"/>
    <w:rsid w:val="0011723C"/>
    <w:rsid w:val="00117BB9"/>
    <w:rsid w:val="001227DD"/>
    <w:rsid w:val="00127337"/>
    <w:rsid w:val="0013056C"/>
    <w:rsid w:val="00136091"/>
    <w:rsid w:val="00153B2D"/>
    <w:rsid w:val="00154171"/>
    <w:rsid w:val="00154704"/>
    <w:rsid w:val="0016304D"/>
    <w:rsid w:val="0017698F"/>
    <w:rsid w:val="00180BB9"/>
    <w:rsid w:val="00184590"/>
    <w:rsid w:val="00185C9A"/>
    <w:rsid w:val="00191E67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D5DC3"/>
    <w:rsid w:val="001E195F"/>
    <w:rsid w:val="001E36BA"/>
    <w:rsid w:val="001E6BF0"/>
    <w:rsid w:val="001F2B63"/>
    <w:rsid w:val="001F3BEA"/>
    <w:rsid w:val="001F42A2"/>
    <w:rsid w:val="001F5398"/>
    <w:rsid w:val="001F5C2E"/>
    <w:rsid w:val="001F6316"/>
    <w:rsid w:val="001F67FD"/>
    <w:rsid w:val="002041F1"/>
    <w:rsid w:val="002101CF"/>
    <w:rsid w:val="002160D0"/>
    <w:rsid w:val="00222333"/>
    <w:rsid w:val="002227BB"/>
    <w:rsid w:val="0023590A"/>
    <w:rsid w:val="00235CF8"/>
    <w:rsid w:val="002402D0"/>
    <w:rsid w:val="002406F0"/>
    <w:rsid w:val="002436AD"/>
    <w:rsid w:val="00253D03"/>
    <w:rsid w:val="002570A7"/>
    <w:rsid w:val="00267E4F"/>
    <w:rsid w:val="00272204"/>
    <w:rsid w:val="002739E2"/>
    <w:rsid w:val="00297830"/>
    <w:rsid w:val="002B2244"/>
    <w:rsid w:val="002B44A4"/>
    <w:rsid w:val="002B68D9"/>
    <w:rsid w:val="002C3CC3"/>
    <w:rsid w:val="002D6121"/>
    <w:rsid w:val="002E68C6"/>
    <w:rsid w:val="002E7086"/>
    <w:rsid w:val="002F2B29"/>
    <w:rsid w:val="00300B5B"/>
    <w:rsid w:val="003042AE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0DD5"/>
    <w:rsid w:val="00366A24"/>
    <w:rsid w:val="00367552"/>
    <w:rsid w:val="00373812"/>
    <w:rsid w:val="0037570D"/>
    <w:rsid w:val="00380A67"/>
    <w:rsid w:val="003839E3"/>
    <w:rsid w:val="00384BEB"/>
    <w:rsid w:val="003869AD"/>
    <w:rsid w:val="00392182"/>
    <w:rsid w:val="0039367C"/>
    <w:rsid w:val="0039499D"/>
    <w:rsid w:val="00397E4F"/>
    <w:rsid w:val="003A114B"/>
    <w:rsid w:val="003B15C1"/>
    <w:rsid w:val="003B3E44"/>
    <w:rsid w:val="003B41FF"/>
    <w:rsid w:val="003C0A55"/>
    <w:rsid w:val="003C13F9"/>
    <w:rsid w:val="003C6173"/>
    <w:rsid w:val="003C6A7A"/>
    <w:rsid w:val="003D2DB2"/>
    <w:rsid w:val="003E2BA8"/>
    <w:rsid w:val="003E3B46"/>
    <w:rsid w:val="003F5DFB"/>
    <w:rsid w:val="00400882"/>
    <w:rsid w:val="0040125F"/>
    <w:rsid w:val="004143AF"/>
    <w:rsid w:val="00427421"/>
    <w:rsid w:val="00430881"/>
    <w:rsid w:val="004314C1"/>
    <w:rsid w:val="00444C0E"/>
    <w:rsid w:val="00445CA1"/>
    <w:rsid w:val="004470BA"/>
    <w:rsid w:val="00452138"/>
    <w:rsid w:val="00455CA0"/>
    <w:rsid w:val="00457661"/>
    <w:rsid w:val="0046515C"/>
    <w:rsid w:val="004677CA"/>
    <w:rsid w:val="00476C4B"/>
    <w:rsid w:val="00484BB6"/>
    <w:rsid w:val="00486CC1"/>
    <w:rsid w:val="00490BE1"/>
    <w:rsid w:val="00494687"/>
    <w:rsid w:val="004951F3"/>
    <w:rsid w:val="004955A9"/>
    <w:rsid w:val="00496711"/>
    <w:rsid w:val="004B388A"/>
    <w:rsid w:val="004B461A"/>
    <w:rsid w:val="004B701D"/>
    <w:rsid w:val="004B7AC0"/>
    <w:rsid w:val="004C193F"/>
    <w:rsid w:val="004C1C45"/>
    <w:rsid w:val="004C486D"/>
    <w:rsid w:val="004C63B9"/>
    <w:rsid w:val="004C7336"/>
    <w:rsid w:val="004E3F39"/>
    <w:rsid w:val="004E7A99"/>
    <w:rsid w:val="004E7C5D"/>
    <w:rsid w:val="004F39E2"/>
    <w:rsid w:val="004F58C7"/>
    <w:rsid w:val="004F6BC6"/>
    <w:rsid w:val="004F7FE3"/>
    <w:rsid w:val="00501769"/>
    <w:rsid w:val="00511500"/>
    <w:rsid w:val="005120F9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37825"/>
    <w:rsid w:val="005415CA"/>
    <w:rsid w:val="00545715"/>
    <w:rsid w:val="00555314"/>
    <w:rsid w:val="0057024A"/>
    <w:rsid w:val="00572123"/>
    <w:rsid w:val="0057228F"/>
    <w:rsid w:val="00574D92"/>
    <w:rsid w:val="005827DD"/>
    <w:rsid w:val="00593DD4"/>
    <w:rsid w:val="005A15CD"/>
    <w:rsid w:val="005A3ADA"/>
    <w:rsid w:val="005A3D1D"/>
    <w:rsid w:val="005A6352"/>
    <w:rsid w:val="005B472F"/>
    <w:rsid w:val="005E319D"/>
    <w:rsid w:val="005F2B43"/>
    <w:rsid w:val="005F3ABA"/>
    <w:rsid w:val="005F6B03"/>
    <w:rsid w:val="006017BB"/>
    <w:rsid w:val="00603814"/>
    <w:rsid w:val="0060508C"/>
    <w:rsid w:val="00614095"/>
    <w:rsid w:val="006220B0"/>
    <w:rsid w:val="00622A2D"/>
    <w:rsid w:val="006256F1"/>
    <w:rsid w:val="00631FA8"/>
    <w:rsid w:val="00641949"/>
    <w:rsid w:val="00641C53"/>
    <w:rsid w:val="00645D18"/>
    <w:rsid w:val="00665401"/>
    <w:rsid w:val="00670A39"/>
    <w:rsid w:val="0067559A"/>
    <w:rsid w:val="00675DF7"/>
    <w:rsid w:val="00680CBA"/>
    <w:rsid w:val="00691C33"/>
    <w:rsid w:val="00693925"/>
    <w:rsid w:val="006A0F26"/>
    <w:rsid w:val="006A1119"/>
    <w:rsid w:val="006A4982"/>
    <w:rsid w:val="006C3642"/>
    <w:rsid w:val="006E4A76"/>
    <w:rsid w:val="006E61FC"/>
    <w:rsid w:val="006F3571"/>
    <w:rsid w:val="00700289"/>
    <w:rsid w:val="00700B7B"/>
    <w:rsid w:val="00703985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096A"/>
    <w:rsid w:val="00762F0F"/>
    <w:rsid w:val="00777A5A"/>
    <w:rsid w:val="00790BE3"/>
    <w:rsid w:val="00791883"/>
    <w:rsid w:val="007955D1"/>
    <w:rsid w:val="00795BD5"/>
    <w:rsid w:val="007A2EEC"/>
    <w:rsid w:val="007C2791"/>
    <w:rsid w:val="007D2CCF"/>
    <w:rsid w:val="007D359B"/>
    <w:rsid w:val="007D679C"/>
    <w:rsid w:val="007E5DC4"/>
    <w:rsid w:val="007E7114"/>
    <w:rsid w:val="007F4752"/>
    <w:rsid w:val="007F499D"/>
    <w:rsid w:val="007F4B1B"/>
    <w:rsid w:val="008034C0"/>
    <w:rsid w:val="00804D53"/>
    <w:rsid w:val="0080589A"/>
    <w:rsid w:val="0081247E"/>
    <w:rsid w:val="00814D65"/>
    <w:rsid w:val="008155AC"/>
    <w:rsid w:val="00817445"/>
    <w:rsid w:val="008212D5"/>
    <w:rsid w:val="00823435"/>
    <w:rsid w:val="00827238"/>
    <w:rsid w:val="00845CFB"/>
    <w:rsid w:val="00847E64"/>
    <w:rsid w:val="00864E21"/>
    <w:rsid w:val="00882C1C"/>
    <w:rsid w:val="008839B4"/>
    <w:rsid w:val="00883B86"/>
    <w:rsid w:val="008842CD"/>
    <w:rsid w:val="008843CC"/>
    <w:rsid w:val="008900C4"/>
    <w:rsid w:val="008915AD"/>
    <w:rsid w:val="008922F1"/>
    <w:rsid w:val="00892447"/>
    <w:rsid w:val="0089303D"/>
    <w:rsid w:val="00894559"/>
    <w:rsid w:val="008A206A"/>
    <w:rsid w:val="008A2C45"/>
    <w:rsid w:val="008A4322"/>
    <w:rsid w:val="008A66EA"/>
    <w:rsid w:val="008B0C76"/>
    <w:rsid w:val="008B1679"/>
    <w:rsid w:val="008B1B0C"/>
    <w:rsid w:val="008B2E1C"/>
    <w:rsid w:val="008B3457"/>
    <w:rsid w:val="008C32B8"/>
    <w:rsid w:val="008C38F0"/>
    <w:rsid w:val="008C5E45"/>
    <w:rsid w:val="008D2329"/>
    <w:rsid w:val="008D4693"/>
    <w:rsid w:val="008D4A30"/>
    <w:rsid w:val="008D5A51"/>
    <w:rsid w:val="008D5BC6"/>
    <w:rsid w:val="008D5E1C"/>
    <w:rsid w:val="008D5E24"/>
    <w:rsid w:val="008E0208"/>
    <w:rsid w:val="008E58B1"/>
    <w:rsid w:val="008E7248"/>
    <w:rsid w:val="008F150B"/>
    <w:rsid w:val="008F224F"/>
    <w:rsid w:val="008F43AF"/>
    <w:rsid w:val="008F520D"/>
    <w:rsid w:val="00902E0B"/>
    <w:rsid w:val="00904632"/>
    <w:rsid w:val="00910A57"/>
    <w:rsid w:val="00910ACC"/>
    <w:rsid w:val="00910B6F"/>
    <w:rsid w:val="00915AEE"/>
    <w:rsid w:val="00917147"/>
    <w:rsid w:val="00920F2A"/>
    <w:rsid w:val="009362F7"/>
    <w:rsid w:val="009407A6"/>
    <w:rsid w:val="00943326"/>
    <w:rsid w:val="0094436A"/>
    <w:rsid w:val="00947176"/>
    <w:rsid w:val="009506E7"/>
    <w:rsid w:val="00953B67"/>
    <w:rsid w:val="00955A08"/>
    <w:rsid w:val="00956745"/>
    <w:rsid w:val="0096140A"/>
    <w:rsid w:val="009616EF"/>
    <w:rsid w:val="00961955"/>
    <w:rsid w:val="00961D2D"/>
    <w:rsid w:val="00962E10"/>
    <w:rsid w:val="00965FA8"/>
    <w:rsid w:val="00973DA1"/>
    <w:rsid w:val="00974082"/>
    <w:rsid w:val="00975D81"/>
    <w:rsid w:val="00977D3F"/>
    <w:rsid w:val="009850FD"/>
    <w:rsid w:val="009903B6"/>
    <w:rsid w:val="009A5591"/>
    <w:rsid w:val="009B3241"/>
    <w:rsid w:val="009C268C"/>
    <w:rsid w:val="009C746B"/>
    <w:rsid w:val="009D5DFA"/>
    <w:rsid w:val="009E0132"/>
    <w:rsid w:val="009E02D9"/>
    <w:rsid w:val="009E173E"/>
    <w:rsid w:val="009E1FCF"/>
    <w:rsid w:val="009E2D6C"/>
    <w:rsid w:val="009E3103"/>
    <w:rsid w:val="009F3076"/>
    <w:rsid w:val="009F43E0"/>
    <w:rsid w:val="00A01302"/>
    <w:rsid w:val="00A027BC"/>
    <w:rsid w:val="00A05EB9"/>
    <w:rsid w:val="00A07EA8"/>
    <w:rsid w:val="00A12834"/>
    <w:rsid w:val="00A131FB"/>
    <w:rsid w:val="00A16872"/>
    <w:rsid w:val="00A260A0"/>
    <w:rsid w:val="00A27074"/>
    <w:rsid w:val="00A35262"/>
    <w:rsid w:val="00A37761"/>
    <w:rsid w:val="00A436E8"/>
    <w:rsid w:val="00A446AD"/>
    <w:rsid w:val="00A44A49"/>
    <w:rsid w:val="00A52B59"/>
    <w:rsid w:val="00A5619C"/>
    <w:rsid w:val="00A60B25"/>
    <w:rsid w:val="00A611F0"/>
    <w:rsid w:val="00A649FE"/>
    <w:rsid w:val="00A71815"/>
    <w:rsid w:val="00A75733"/>
    <w:rsid w:val="00A75B7B"/>
    <w:rsid w:val="00A960AB"/>
    <w:rsid w:val="00A96E30"/>
    <w:rsid w:val="00AB1C2D"/>
    <w:rsid w:val="00AC1F4D"/>
    <w:rsid w:val="00AC48FD"/>
    <w:rsid w:val="00AC6814"/>
    <w:rsid w:val="00AD1605"/>
    <w:rsid w:val="00AD3956"/>
    <w:rsid w:val="00AE1C5F"/>
    <w:rsid w:val="00AF12DB"/>
    <w:rsid w:val="00B05430"/>
    <w:rsid w:val="00B109D5"/>
    <w:rsid w:val="00B135A8"/>
    <w:rsid w:val="00B1701C"/>
    <w:rsid w:val="00B265A5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4BB8"/>
    <w:rsid w:val="00B7616B"/>
    <w:rsid w:val="00B827D4"/>
    <w:rsid w:val="00B8652E"/>
    <w:rsid w:val="00B90845"/>
    <w:rsid w:val="00BA3FD2"/>
    <w:rsid w:val="00BA7028"/>
    <w:rsid w:val="00BB5D1A"/>
    <w:rsid w:val="00BC69D6"/>
    <w:rsid w:val="00BD0FF5"/>
    <w:rsid w:val="00BD1D3E"/>
    <w:rsid w:val="00BD2046"/>
    <w:rsid w:val="00BE2432"/>
    <w:rsid w:val="00BF181D"/>
    <w:rsid w:val="00BF194C"/>
    <w:rsid w:val="00BF45AB"/>
    <w:rsid w:val="00BF661D"/>
    <w:rsid w:val="00C03A82"/>
    <w:rsid w:val="00C06213"/>
    <w:rsid w:val="00C073CC"/>
    <w:rsid w:val="00C11C32"/>
    <w:rsid w:val="00C17467"/>
    <w:rsid w:val="00C2065A"/>
    <w:rsid w:val="00C22A4C"/>
    <w:rsid w:val="00C23E7C"/>
    <w:rsid w:val="00C24FEE"/>
    <w:rsid w:val="00C3270A"/>
    <w:rsid w:val="00C35D30"/>
    <w:rsid w:val="00C41B19"/>
    <w:rsid w:val="00C41EB2"/>
    <w:rsid w:val="00C467EB"/>
    <w:rsid w:val="00C47BAC"/>
    <w:rsid w:val="00C53044"/>
    <w:rsid w:val="00C550C6"/>
    <w:rsid w:val="00C60133"/>
    <w:rsid w:val="00C60969"/>
    <w:rsid w:val="00C60BE5"/>
    <w:rsid w:val="00C61F36"/>
    <w:rsid w:val="00C623E7"/>
    <w:rsid w:val="00C74BFD"/>
    <w:rsid w:val="00C86C7B"/>
    <w:rsid w:val="00CA1A4D"/>
    <w:rsid w:val="00CB40E4"/>
    <w:rsid w:val="00CC57B9"/>
    <w:rsid w:val="00CC695B"/>
    <w:rsid w:val="00CD1F8A"/>
    <w:rsid w:val="00CD300B"/>
    <w:rsid w:val="00CD5D5E"/>
    <w:rsid w:val="00CE00C2"/>
    <w:rsid w:val="00CE0C27"/>
    <w:rsid w:val="00CE4EBA"/>
    <w:rsid w:val="00CE4EF5"/>
    <w:rsid w:val="00CE6AA4"/>
    <w:rsid w:val="00CF0059"/>
    <w:rsid w:val="00D0324F"/>
    <w:rsid w:val="00D073A6"/>
    <w:rsid w:val="00D20F73"/>
    <w:rsid w:val="00D32EF2"/>
    <w:rsid w:val="00D37E45"/>
    <w:rsid w:val="00D610A3"/>
    <w:rsid w:val="00D64332"/>
    <w:rsid w:val="00D658D3"/>
    <w:rsid w:val="00D742A9"/>
    <w:rsid w:val="00D80CAA"/>
    <w:rsid w:val="00D81E9B"/>
    <w:rsid w:val="00D82237"/>
    <w:rsid w:val="00D9338B"/>
    <w:rsid w:val="00D9649A"/>
    <w:rsid w:val="00D96B92"/>
    <w:rsid w:val="00D96FEA"/>
    <w:rsid w:val="00DA2084"/>
    <w:rsid w:val="00DA6E08"/>
    <w:rsid w:val="00DB05E8"/>
    <w:rsid w:val="00DB6AEE"/>
    <w:rsid w:val="00DC1C63"/>
    <w:rsid w:val="00DD02A8"/>
    <w:rsid w:val="00DD3429"/>
    <w:rsid w:val="00DE1294"/>
    <w:rsid w:val="00DE3D26"/>
    <w:rsid w:val="00DE55C2"/>
    <w:rsid w:val="00DE6F64"/>
    <w:rsid w:val="00DE7B24"/>
    <w:rsid w:val="00DF3178"/>
    <w:rsid w:val="00DF5D61"/>
    <w:rsid w:val="00E01154"/>
    <w:rsid w:val="00E1289C"/>
    <w:rsid w:val="00E137F8"/>
    <w:rsid w:val="00E14BA5"/>
    <w:rsid w:val="00E170B4"/>
    <w:rsid w:val="00E21464"/>
    <w:rsid w:val="00E2307E"/>
    <w:rsid w:val="00E2460E"/>
    <w:rsid w:val="00E26870"/>
    <w:rsid w:val="00E310D8"/>
    <w:rsid w:val="00E33760"/>
    <w:rsid w:val="00E34C70"/>
    <w:rsid w:val="00E3791C"/>
    <w:rsid w:val="00E438C3"/>
    <w:rsid w:val="00E46864"/>
    <w:rsid w:val="00E46F62"/>
    <w:rsid w:val="00E520C6"/>
    <w:rsid w:val="00E56A7B"/>
    <w:rsid w:val="00E56D83"/>
    <w:rsid w:val="00E73630"/>
    <w:rsid w:val="00E74820"/>
    <w:rsid w:val="00E74827"/>
    <w:rsid w:val="00E749E8"/>
    <w:rsid w:val="00E81F3D"/>
    <w:rsid w:val="00E85DDA"/>
    <w:rsid w:val="00E92229"/>
    <w:rsid w:val="00E947BC"/>
    <w:rsid w:val="00E961C1"/>
    <w:rsid w:val="00EB0FD9"/>
    <w:rsid w:val="00EC4179"/>
    <w:rsid w:val="00EC4C9E"/>
    <w:rsid w:val="00EC5EFA"/>
    <w:rsid w:val="00EE0587"/>
    <w:rsid w:val="00EE12CE"/>
    <w:rsid w:val="00EE308A"/>
    <w:rsid w:val="00EE3251"/>
    <w:rsid w:val="00EE7D3F"/>
    <w:rsid w:val="00EF1517"/>
    <w:rsid w:val="00EF25B5"/>
    <w:rsid w:val="00F01722"/>
    <w:rsid w:val="00F02613"/>
    <w:rsid w:val="00F07F89"/>
    <w:rsid w:val="00F10905"/>
    <w:rsid w:val="00F11BD2"/>
    <w:rsid w:val="00F12497"/>
    <w:rsid w:val="00F14501"/>
    <w:rsid w:val="00F15700"/>
    <w:rsid w:val="00F20118"/>
    <w:rsid w:val="00F27747"/>
    <w:rsid w:val="00F31C5B"/>
    <w:rsid w:val="00F35C1A"/>
    <w:rsid w:val="00F371EF"/>
    <w:rsid w:val="00F425C6"/>
    <w:rsid w:val="00F53388"/>
    <w:rsid w:val="00F60C94"/>
    <w:rsid w:val="00F61869"/>
    <w:rsid w:val="00F65642"/>
    <w:rsid w:val="00F66787"/>
    <w:rsid w:val="00F7014D"/>
    <w:rsid w:val="00F76187"/>
    <w:rsid w:val="00F77092"/>
    <w:rsid w:val="00F879D2"/>
    <w:rsid w:val="00FA6024"/>
    <w:rsid w:val="00FB113A"/>
    <w:rsid w:val="00FB14E2"/>
    <w:rsid w:val="00FB25E2"/>
    <w:rsid w:val="00FB2CA9"/>
    <w:rsid w:val="00FE4C5A"/>
    <w:rsid w:val="00FE6107"/>
    <w:rsid w:val="00FE6ED7"/>
    <w:rsid w:val="00FF5D0E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8F23FC"/>
  <w15:docId w15:val="{1F20F1FD-606E-415B-A93C-F235BC27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34"/>
    <w:qFormat/>
    <w:rsid w:val="00191E6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F00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444B68-9C01-488A-96B0-FE755581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149</TotalTime>
  <Pages>5</Pages>
  <Words>1181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22</cp:revision>
  <cp:lastPrinted>2014-07-07T13:51:00Z</cp:lastPrinted>
  <dcterms:created xsi:type="dcterms:W3CDTF">2022-11-15T09:33:00Z</dcterms:created>
  <dcterms:modified xsi:type="dcterms:W3CDTF">2023-11-07T09:36:00Z</dcterms:modified>
</cp:coreProperties>
</file>