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AB20E4A" w14:textId="0D4ACA8E" w:rsidR="000B5941" w:rsidRDefault="000B5941">
      <w:pPr>
        <w:ind w:left="5664" w:firstLine="708"/>
        <w:jc w:val="right"/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1571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5711"/>
      </w:tblGrid>
      <w:tr w:rsidR="000F64D8" w14:paraId="1EA8E158" w14:textId="77777777" w:rsidTr="00401B26">
        <w:trPr>
          <w:trHeight w:val="20"/>
        </w:trPr>
        <w:tc>
          <w:tcPr>
            <w:tcW w:w="1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248D7C4C" w14:textId="77777777" w:rsidTr="00401B26">
        <w:trPr>
          <w:trHeight w:val="20"/>
        </w:trPr>
        <w:tc>
          <w:tcPr>
            <w:tcW w:w="1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83E9B" w14:textId="5E862F69" w:rsidR="00D33951" w:rsidRPr="00832473" w:rsidRDefault="00D33951" w:rsidP="00054A21">
            <w:pPr>
              <w:spacing w:before="120" w:after="120"/>
              <w:jc w:val="left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</w:pPr>
            <w:r w:rsidRPr="0083247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Un patient consulte son médecin </w:t>
            </w:r>
            <w:r w:rsidR="00054A21" w:rsidRPr="00832473">
              <w:rPr>
                <w:rFonts w:ascii="Arial" w:hAnsi="Arial" w:cs="Arial"/>
                <w:color w:val="000000" w:themeColor="text1"/>
                <w:sz w:val="24"/>
                <w:szCs w:val="24"/>
              </w:rPr>
              <w:t>à la suite d’une</w:t>
            </w:r>
            <w:r w:rsidRPr="00832473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accumulation de graisse, principalement au niveau du visage et du cou ainsi que de</w:t>
            </w:r>
            <w:r w:rsidRPr="0083247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s rougeurs et des lésions cutanées à différents endroits du corps. Ces symptômes amènent le médecin à suspecter un syndrome de Cushing.</w:t>
            </w:r>
            <w:r w:rsidR="00054A2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Les symptômes sont liés à une hypersécrétion du cortisol, </w:t>
            </w:r>
            <w:r w:rsidR="002B2B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une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 xml:space="preserve">hormone sécrétée par des cellules spécialisées qui peut </w:t>
            </w:r>
            <w:r w:rsidR="002B2B6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être détectée d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fr-FR"/>
              </w:rPr>
              <w:t>ans la salive.</w:t>
            </w:r>
          </w:p>
          <w:p w14:paraId="63829B52" w14:textId="07A1D33F" w:rsidR="00832473" w:rsidRPr="00832473" w:rsidRDefault="00D33951" w:rsidP="00054A21">
            <w:pPr>
              <w:widowControl w:val="0"/>
              <w:shd w:val="clear" w:color="auto" w:fill="FFFFFF"/>
              <w:spacing w:after="120"/>
              <w:jc w:val="both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83247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On cherche à confirmer le diagnostic </w:t>
            </w:r>
            <w:r w:rsidR="002B2B61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d’un syndrome de Cushing</w:t>
            </w:r>
            <w:r w:rsidRPr="00832473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en déterminant son origine.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00220A2C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00220A2C">
        <w:tc>
          <w:tcPr>
            <w:tcW w:w="5000" w:type="pct"/>
            <w:shd w:val="clear" w:color="auto" w:fill="F2F2F2" w:themeFill="background1" w:themeFillShade="F2"/>
          </w:tcPr>
          <w:p w14:paraId="747B2D9A" w14:textId="16173268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activité pratique (durée recommandée :</w:t>
            </w:r>
            <w:r w:rsidR="008131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</w:t>
            </w:r>
            <w:r w:rsidR="00832473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054A2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00220A2C">
        <w:tc>
          <w:tcPr>
            <w:tcW w:w="5000" w:type="pct"/>
          </w:tcPr>
          <w:p w14:paraId="446D0747" w14:textId="4D465443" w:rsidR="00832473" w:rsidRDefault="00832473" w:rsidP="00220A2C">
            <w:pPr>
              <w:spacing w:before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consiste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à </w:t>
            </w:r>
            <w:r w:rsidR="00ED2902">
              <w:rPr>
                <w:rFonts w:ascii="Arial" w:hAnsi="Arial" w:cs="Arial"/>
                <w:bCs/>
                <w:sz w:val="24"/>
                <w:szCs w:val="24"/>
              </w:rPr>
              <w:t xml:space="preserve">déterminer 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le taux de cortisol salivaire du patient par </w:t>
            </w:r>
            <w:r w:rsidR="00ED2902">
              <w:rPr>
                <w:rFonts w:ascii="Arial" w:hAnsi="Arial" w:cs="Arial"/>
                <w:bCs/>
                <w:sz w:val="24"/>
                <w:szCs w:val="24"/>
              </w:rPr>
              <w:t xml:space="preserve">dosage selon </w:t>
            </w:r>
            <w:r>
              <w:rPr>
                <w:rFonts w:ascii="Arial" w:hAnsi="Arial" w:cs="Arial"/>
                <w:bCs/>
                <w:sz w:val="24"/>
                <w:szCs w:val="24"/>
              </w:rPr>
              <w:t>un test ELISA « sandwich »</w:t>
            </w:r>
            <w:r w:rsidR="00ED2902">
              <w:rPr>
                <w:rFonts w:ascii="Arial" w:hAnsi="Arial" w:cs="Arial"/>
                <w:bCs/>
                <w:sz w:val="24"/>
                <w:szCs w:val="24"/>
              </w:rPr>
              <w:t xml:space="preserve"> et de comparer les valeurs obtenues à des valeurs de solutions de référence.</w:t>
            </w:r>
          </w:p>
          <w:p w14:paraId="25BD12AD" w14:textId="77777777" w:rsidR="00832473" w:rsidRDefault="00832473" w:rsidP="0083247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0BDD058" w14:textId="4EB090DB" w:rsidR="006E06B9" w:rsidRPr="00A96B6C" w:rsidRDefault="00832473" w:rsidP="00220A2C">
            <w:pPr>
              <w:spacing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220A2C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pour vérifier les résultats de la mise en œuvre du protocole.</w:t>
            </w:r>
          </w:p>
        </w:tc>
      </w:tr>
      <w:tr w:rsidR="0045192F" w14:paraId="64964D67" w14:textId="77777777" w:rsidTr="00220A2C">
        <w:tc>
          <w:tcPr>
            <w:tcW w:w="5000" w:type="pct"/>
            <w:shd w:val="clear" w:color="auto" w:fill="F2F2F2" w:themeFill="background1" w:themeFillShade="F2"/>
          </w:tcPr>
          <w:p w14:paraId="28C9E657" w14:textId="4057BE40" w:rsidR="0045192F" w:rsidRDefault="006E06B9" w:rsidP="00D915E7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B : </w:t>
            </w:r>
            <w:r w:rsidR="00B445E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Présentation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et interprétation 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des résultats, poursuite de la stratégie</w:t>
            </w:r>
            <w:r w:rsidR="0081318F"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et conclusion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(durée recommandée :</w:t>
            </w:r>
            <w:r w:rsidR="00832473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 30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min</w:t>
            </w:r>
            <w:r w:rsidR="00054A21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E5142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7C51D14B" w14:textId="77777777" w:rsidTr="00220A2C">
        <w:tc>
          <w:tcPr>
            <w:tcW w:w="5000" w:type="pct"/>
          </w:tcPr>
          <w:p w14:paraId="4BC62326" w14:textId="77777777" w:rsidR="00A96B6C" w:rsidRDefault="00A96B6C" w:rsidP="00220A2C">
            <w:pPr>
              <w:spacing w:before="12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57EBE85C" w14:textId="77777777" w:rsidR="00220A2C" w:rsidRDefault="00220A2C" w:rsidP="00220A2C">
            <w:pPr>
              <w:rPr>
                <w:rFonts w:ascii="Arial" w:hAnsi="Arial" w:cs="Arial"/>
                <w:b/>
                <w:bCs/>
                <w:i/>
                <w:sz w:val="24"/>
                <w:szCs w:val="24"/>
              </w:rPr>
            </w:pPr>
          </w:p>
          <w:p w14:paraId="71DE8526" w14:textId="318AA2F3" w:rsidR="00A96B6C" w:rsidRDefault="00A96B6C" w:rsidP="00220A2C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E5142F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 </w:t>
            </w:r>
            <w:r w:rsidR="009F4A7F" w:rsidRPr="00E5142F">
              <w:rPr>
                <w:rFonts w:ascii="Arial" w:hAnsi="Arial" w:cs="Arial"/>
                <w:bCs/>
                <w:i/>
                <w:sz w:val="24"/>
                <w:szCs w:val="24"/>
              </w:rPr>
              <w:t>et obtenir une ressource complémentaire</w:t>
            </w:r>
            <w:r w:rsidR="00220A2C">
              <w:rPr>
                <w:rFonts w:ascii="Arial" w:hAnsi="Arial" w:cs="Arial"/>
                <w:bCs/>
                <w:i/>
                <w:sz w:val="24"/>
                <w:szCs w:val="24"/>
              </w:rPr>
              <w:t>.</w:t>
            </w:r>
          </w:p>
          <w:p w14:paraId="71A1A42B" w14:textId="77777777" w:rsidR="00220A2C" w:rsidRDefault="00220A2C" w:rsidP="00220A2C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57F25308" w14:textId="09D656FA" w:rsidR="00742842" w:rsidRDefault="00742842" w:rsidP="0074284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bCs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Proposer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Pr="00742842">
              <w:rPr>
                <w:rFonts w:ascii="Arial" w:eastAsia="Arial" w:hAnsi="Arial" w:cs="Arial"/>
                <w:color w:val="000000" w:themeColor="text1"/>
                <w:sz w:val="24"/>
              </w:rPr>
              <w:t xml:space="preserve">une stratégie qui permette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de </w:t>
            </w:r>
            <w:r w:rsidR="005D3339">
              <w:rPr>
                <w:rFonts w:ascii="Arial" w:eastAsia="Arial" w:hAnsi="Arial" w:cs="Arial"/>
                <w:color w:val="000000"/>
                <w:sz w:val="24"/>
              </w:rPr>
              <w:t xml:space="preserve">déterminer </w:t>
            </w:r>
            <w:r>
              <w:rPr>
                <w:rFonts w:ascii="Arial" w:eastAsia="Arial" w:hAnsi="Arial" w:cs="Arial"/>
                <w:color w:val="000000"/>
                <w:sz w:val="24"/>
              </w:rPr>
              <w:t>l’origine de l’hypersécrétion de cortisol.</w:t>
            </w:r>
          </w:p>
          <w:p w14:paraId="3E5F1D0F" w14:textId="77777777" w:rsidR="00220A2C" w:rsidRDefault="00220A2C" w:rsidP="00220A2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14:paraId="35B798BB" w14:textId="6F886C4E" w:rsidR="00A96B6C" w:rsidRDefault="00A96B6C" w:rsidP="00220A2C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</w:t>
            </w:r>
            <w:r w:rsidRPr="00220A2C">
              <w:rPr>
                <w:rFonts w:ascii="Arial" w:hAnsi="Arial" w:cs="Arial"/>
                <w:i/>
                <w:sz w:val="24"/>
                <w:szCs w:val="24"/>
              </w:rPr>
              <w:t xml:space="preserve">pour </w:t>
            </w:r>
            <w:r w:rsidR="006433C5" w:rsidRPr="00220A2C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présenter</w:t>
            </w:r>
            <w:r w:rsidRPr="00220A2C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votre proposition à l’oral</w:t>
            </w:r>
            <w:r w:rsidR="00220A2C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 xml:space="preserve"> et obtenir une ressource complémentaire.</w:t>
            </w:r>
          </w:p>
          <w:p w14:paraId="21F11587" w14:textId="77777777" w:rsidR="00220A2C" w:rsidRPr="00220A2C" w:rsidRDefault="00220A2C" w:rsidP="00220A2C">
            <w:pPr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</w:p>
          <w:p w14:paraId="11F5D975" w14:textId="755ECEF2" w:rsidR="00220A2C" w:rsidRPr="00220A2C" w:rsidRDefault="005D3339" w:rsidP="00220A2C">
            <w:pPr>
              <w:spacing w:after="120"/>
              <w:jc w:val="both"/>
              <w:rPr>
                <w:rFonts w:ascii="Arial" w:eastAsia="Arial" w:hAnsi="Arial" w:cs="Arial"/>
                <w:color w:val="000000"/>
                <w:sz w:val="24"/>
              </w:rPr>
            </w:pPr>
            <w:r w:rsidRPr="008E5F66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 </w:t>
            </w:r>
            <w:r w:rsidR="007F07D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pour</w:t>
            </w:r>
            <w:r w:rsidRPr="00E4102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confirmer le diagnostic </w:t>
            </w:r>
            <w:r w:rsidR="007F07D8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d’un syndrome de Cushing</w:t>
            </w:r>
            <w:r w:rsidRPr="00E4102F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en déterminant son origine</w:t>
            </w:r>
            <w:r>
              <w:rPr>
                <w:rFonts w:ascii="Arial" w:eastAsia="Arial" w:hAnsi="Arial" w:cs="Arial"/>
                <w:color w:val="000000"/>
                <w:sz w:val="24"/>
              </w:rPr>
              <w:t>.</w:t>
            </w:r>
          </w:p>
        </w:tc>
      </w:tr>
    </w:tbl>
    <w:p w14:paraId="24D96F0F" w14:textId="10532F86" w:rsidR="00220A2C" w:rsidRDefault="00220A2C" w:rsidP="0054079E">
      <w:pPr>
        <w:jc w:val="right"/>
        <w:rPr>
          <w:rFonts w:ascii="Arial" w:hAnsi="Arial" w:cs="Arial"/>
          <w:sz w:val="24"/>
          <w:szCs w:val="24"/>
        </w:rPr>
      </w:pPr>
    </w:p>
    <w:p w14:paraId="6252D9CE" w14:textId="77777777" w:rsidR="00220A2C" w:rsidRDefault="00220A2C">
      <w:pPr>
        <w:suppressAutoHyphens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7EA0B25" w14:textId="012A78F7" w:rsidR="0054079E" w:rsidRDefault="00116A5C" w:rsidP="0054079E">
      <w:pPr>
        <w:jc w:val="right"/>
      </w:pPr>
      <w:r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1571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7489"/>
        <w:gridCol w:w="8222"/>
      </w:tblGrid>
      <w:tr w:rsidR="0054079E" w14:paraId="7ED1906A" w14:textId="77777777" w:rsidTr="00B21CC1">
        <w:trPr>
          <w:trHeight w:val="20"/>
        </w:trPr>
        <w:tc>
          <w:tcPr>
            <w:tcW w:w="15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0F64D8" w14:paraId="50FF2CF2" w14:textId="77777777" w:rsidTr="00B21CC1">
        <w:trPr>
          <w:trHeight w:val="6037"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Pr="005D3339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D3339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4103CE9C" w14:textId="75670D2D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b</w:t>
            </w:r>
            <w:r w:rsidR="00C2791F">
              <w:rPr>
                <w:rFonts w:ascii="Arial" w:hAnsi="Arial" w:cs="Arial"/>
                <w:sz w:val="24"/>
                <w:szCs w:val="24"/>
              </w:rPr>
              <w:t>arrette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puits au fond desquels sont fixés des anticorps anti-cortisol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A1A20B2" w14:textId="5526AC6B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C2791F">
              <w:rPr>
                <w:rFonts w:ascii="Arial" w:hAnsi="Arial" w:cs="Arial"/>
                <w:sz w:val="24"/>
                <w:szCs w:val="24"/>
              </w:rPr>
              <w:t>nticorps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C2791F">
              <w:rPr>
                <w:rFonts w:ascii="Arial" w:hAnsi="Arial" w:cs="Arial"/>
                <w:sz w:val="24"/>
                <w:szCs w:val="24"/>
              </w:rPr>
              <w:t>Ac</w:t>
            </w:r>
            <w:proofErr w:type="spellEnd"/>
            <w:r w:rsidR="00C2791F">
              <w:rPr>
                <w:rFonts w:ascii="Arial" w:hAnsi="Arial" w:cs="Arial"/>
                <w:sz w:val="24"/>
                <w:szCs w:val="24"/>
              </w:rPr>
              <w:t>) de détection des anticorps fixés au cortisol, couplés à une enzyme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7652753" w14:textId="79DBE5AD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C2791F">
              <w:rPr>
                <w:rFonts w:ascii="Arial" w:hAnsi="Arial" w:cs="Arial"/>
                <w:sz w:val="24"/>
                <w:szCs w:val="24"/>
              </w:rPr>
              <w:t>olution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lavage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EA2931D" w14:textId="1D7528CA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C2791F">
              <w:rPr>
                <w:rFonts w:ascii="Arial" w:hAnsi="Arial" w:cs="Arial"/>
                <w:sz w:val="24"/>
                <w:szCs w:val="24"/>
              </w:rPr>
              <w:t>olution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révélation (réactif de l’enzyme)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DF291F5" w14:textId="3F0DA684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C2791F">
              <w:rPr>
                <w:rFonts w:ascii="Arial" w:hAnsi="Arial" w:cs="Arial"/>
                <w:sz w:val="24"/>
                <w:szCs w:val="24"/>
              </w:rPr>
              <w:t>ipettes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prélèvement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DD63659" w14:textId="15FAE807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C2791F">
              <w:rPr>
                <w:rFonts w:ascii="Arial" w:hAnsi="Arial" w:cs="Arial"/>
                <w:sz w:val="24"/>
                <w:szCs w:val="24"/>
              </w:rPr>
              <w:t>apier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absorbant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DEFE613" w14:textId="14E7EA8C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C2791F">
              <w:rPr>
                <w:rFonts w:ascii="Arial" w:hAnsi="Arial" w:cs="Arial"/>
                <w:sz w:val="24"/>
                <w:szCs w:val="24"/>
              </w:rPr>
              <w:t>écipient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récupération des opérations de lavages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AE5DC8C" w14:textId="126BB6B2" w:rsidR="00C2791F" w:rsidRPr="00134C70" w:rsidRDefault="002B2B61" w:rsidP="007E124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34C70">
              <w:rPr>
                <w:rFonts w:ascii="Arial" w:hAnsi="Arial" w:cs="Arial"/>
                <w:sz w:val="24"/>
                <w:szCs w:val="24"/>
              </w:rPr>
              <w:t>f</w:t>
            </w:r>
            <w:r w:rsidR="00C2791F" w:rsidRPr="00134C70">
              <w:rPr>
                <w:rFonts w:ascii="Arial" w:hAnsi="Arial" w:cs="Arial"/>
                <w:sz w:val="24"/>
                <w:szCs w:val="24"/>
              </w:rPr>
              <w:t>eutre permanent</w:t>
            </w:r>
            <w:r w:rsidR="00134C70" w:rsidRPr="00134C70">
              <w:rPr>
                <w:rFonts w:ascii="Arial" w:hAnsi="Arial" w:cs="Arial"/>
                <w:sz w:val="24"/>
                <w:szCs w:val="24"/>
              </w:rPr>
              <w:t>,</w:t>
            </w:r>
            <w:r w:rsidR="00134C70">
              <w:rPr>
                <w:rFonts w:ascii="Arial" w:hAnsi="Arial" w:cs="Arial"/>
                <w:sz w:val="24"/>
                <w:szCs w:val="24"/>
              </w:rPr>
              <w:t xml:space="preserve"> c</w:t>
            </w:r>
            <w:r w:rsidR="00C2791F" w:rsidRPr="00134C70">
              <w:rPr>
                <w:rFonts w:ascii="Arial" w:hAnsi="Arial" w:cs="Arial"/>
                <w:sz w:val="24"/>
                <w:szCs w:val="24"/>
              </w:rPr>
              <w:t>hronomètre</w:t>
            </w:r>
            <w:r w:rsidRPr="00134C70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F4A9325" w14:textId="38F7479D" w:rsidR="00C2791F" w:rsidRDefault="007F07D8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r</w:t>
            </w:r>
            <w:r w:rsidR="00C2791F">
              <w:rPr>
                <w:rFonts w:ascii="Arial" w:hAnsi="Arial" w:cs="Arial"/>
                <w:sz w:val="24"/>
                <w:szCs w:val="24"/>
              </w:rPr>
              <w:t>écipient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avec eau de javel pour déposer le matériel souillé</w:t>
            </w:r>
            <w:r w:rsidR="002B2B61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AFBB354" w14:textId="3D9B73D9" w:rsidR="00C2791F" w:rsidRDefault="002B2B61" w:rsidP="00C2791F">
            <w:pPr>
              <w:pStyle w:val="Corpsdetexte"/>
              <w:numPr>
                <w:ilvl w:val="0"/>
                <w:numId w:val="41"/>
              </w:numPr>
              <w:suppressAutoHyphens w:val="0"/>
              <w:spacing w:after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C2791F">
              <w:rPr>
                <w:rFonts w:ascii="Arial" w:hAnsi="Arial" w:cs="Arial"/>
                <w:sz w:val="24"/>
                <w:szCs w:val="24"/>
              </w:rPr>
              <w:t>ubes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solutions de cortisol de concentrations connues :</w:t>
            </w:r>
          </w:p>
          <w:p w14:paraId="051B82E6" w14:textId="5DADF934" w:rsidR="00C2791F" w:rsidRPr="002B2B61" w:rsidRDefault="00C2791F" w:rsidP="00C27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5" w:lineRule="atLeast"/>
              <w:jc w:val="lef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C1 = solution de cortisol à 1 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ng.mL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-1</w:t>
            </w:r>
            <w:r w:rsidR="002B2B61"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 </w:t>
            </w:r>
            <w:r w:rsidR="002B2B61">
              <w:rPr>
                <w:rFonts w:ascii="Arial" w:eastAsia="Arial" w:hAnsi="Arial" w:cs="Arial"/>
                <w:color w:val="000000"/>
                <w:sz w:val="20"/>
              </w:rPr>
              <w:t>;</w:t>
            </w:r>
          </w:p>
          <w:p w14:paraId="0B795BD1" w14:textId="42B258C5" w:rsidR="00C2791F" w:rsidRDefault="00C2791F" w:rsidP="00C27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5" w:lineRule="atLeast"/>
              <w:jc w:val="left"/>
              <w:rPr>
                <w:rFonts w:ascii="Arial" w:eastAsia="Arial" w:hAnsi="Arial" w:cs="Arial"/>
                <w:color w:val="000000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C2 = solution de cortisol à 2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ng.mL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-1</w:t>
            </w:r>
            <w:r w:rsidR="002B2B61"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 </w:t>
            </w:r>
            <w:r w:rsidR="002B2B61">
              <w:rPr>
                <w:rFonts w:ascii="Arial" w:eastAsia="Arial" w:hAnsi="Arial" w:cs="Arial"/>
                <w:color w:val="000000"/>
                <w:sz w:val="20"/>
              </w:rPr>
              <w:t>;</w:t>
            </w:r>
          </w:p>
          <w:p w14:paraId="49C4257C" w14:textId="71A60477" w:rsidR="00C2791F" w:rsidRDefault="00C2791F" w:rsidP="00C27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5" w:lineRule="atLeast"/>
              <w:jc w:val="left"/>
              <w:rPr>
                <w:rFonts w:ascii="Arial" w:eastAsia="Arial" w:hAnsi="Arial" w:cs="Arial"/>
                <w:color w:val="000000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 xml:space="preserve">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C3 = solution de cortisol à 5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ng.mL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-1</w:t>
            </w:r>
            <w:r w:rsidR="002B2B61"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 </w:t>
            </w:r>
            <w:r w:rsidR="002B2B61">
              <w:rPr>
                <w:rFonts w:ascii="Arial" w:eastAsia="Arial" w:hAnsi="Arial" w:cs="Arial"/>
                <w:color w:val="000000"/>
                <w:sz w:val="20"/>
              </w:rPr>
              <w:t>;</w:t>
            </w:r>
          </w:p>
          <w:p w14:paraId="04DEE79C" w14:textId="4CDDCB74" w:rsidR="00C2791F" w:rsidRDefault="00C2791F" w:rsidP="00C27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5" w:lineRule="atLeast"/>
              <w:jc w:val="left"/>
              <w:rPr>
                <w:rFonts w:ascii="Arial" w:eastAsia="Arial" w:hAnsi="Arial" w:cs="Arial"/>
                <w:color w:val="000000"/>
                <w:sz w:val="20"/>
                <w:vertAlign w:val="superscript"/>
              </w:rPr>
            </w:pPr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 xml:space="preserve">                                      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C4 = solution de cortisol à 10 </w:t>
            </w:r>
            <w:proofErr w:type="gramStart"/>
            <w:r>
              <w:rPr>
                <w:rFonts w:ascii="Arial" w:eastAsia="Arial" w:hAnsi="Arial" w:cs="Arial"/>
                <w:color w:val="000000"/>
                <w:sz w:val="24"/>
              </w:rPr>
              <w:t>ng.mL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-1</w:t>
            </w:r>
            <w:r w:rsidR="002B2B61"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  </w:t>
            </w:r>
            <w:r w:rsidR="002B2B61">
              <w:rPr>
                <w:rFonts w:ascii="Arial" w:eastAsia="Arial" w:hAnsi="Arial" w:cs="Arial"/>
                <w:color w:val="000000"/>
                <w:sz w:val="20"/>
              </w:rPr>
              <w:t>;</w:t>
            </w:r>
          </w:p>
          <w:p w14:paraId="7667EBD0" w14:textId="2730C1A8" w:rsidR="00C2791F" w:rsidRDefault="002B2B61" w:rsidP="00C2791F">
            <w:pPr>
              <w:pStyle w:val="Corpsdetex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 w:val="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00C2791F">
              <w:rPr>
                <w:rFonts w:ascii="Arial" w:hAnsi="Arial" w:cs="Arial"/>
                <w:sz w:val="24"/>
                <w:szCs w:val="24"/>
              </w:rPr>
              <w:t>ubes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de salive du patient :</w:t>
            </w:r>
          </w:p>
          <w:p w14:paraId="0BCE87D9" w14:textId="220A8A0F" w:rsidR="00C2791F" w:rsidRDefault="00C2791F" w:rsidP="00C27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5" w:lineRule="atLeast"/>
              <w:jc w:val="left"/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S1 = salive récoltée à 8</w:t>
            </w:r>
            <w:r w:rsidR="002B2B61">
              <w:rPr>
                <w:rFonts w:ascii="Arial" w:eastAsia="Arial" w:hAnsi="Arial" w:cs="Arial"/>
                <w:color w:val="000000"/>
                <w:sz w:val="24"/>
              </w:rPr>
              <w:t> </w:t>
            </w:r>
            <w:r>
              <w:rPr>
                <w:rFonts w:ascii="Arial" w:eastAsia="Arial" w:hAnsi="Arial" w:cs="Arial"/>
                <w:color w:val="000000"/>
                <w:sz w:val="24"/>
              </w:rPr>
              <w:t>h</w:t>
            </w:r>
            <w:r w:rsidR="002B2B61">
              <w:rPr>
                <w:rFonts w:ascii="Arial" w:eastAsia="Arial" w:hAnsi="Arial" w:cs="Arial"/>
                <w:color w:val="000000"/>
                <w:sz w:val="24"/>
              </w:rPr>
              <w:t>eures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le matin</w:t>
            </w:r>
            <w:r w:rsidR="002B2B61">
              <w:rPr>
                <w:rFonts w:ascii="Arial" w:eastAsia="Arial" w:hAnsi="Arial" w:cs="Arial"/>
                <w:color w:val="000000"/>
                <w:sz w:val="20"/>
                <w:vertAlign w:val="superscript"/>
              </w:rPr>
              <w:t> </w:t>
            </w:r>
            <w:r w:rsidR="002B2B61">
              <w:rPr>
                <w:rFonts w:ascii="Arial" w:eastAsia="Arial" w:hAnsi="Arial" w:cs="Arial"/>
                <w:color w:val="000000"/>
                <w:sz w:val="20"/>
              </w:rPr>
              <w:t>;</w:t>
            </w:r>
          </w:p>
          <w:p w14:paraId="0D3E37EC" w14:textId="40ACA968" w:rsidR="00C2791F" w:rsidRDefault="00C2791F" w:rsidP="00C2791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55" w:lineRule="atLeast"/>
              <w:jc w:val="left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</w:rPr>
              <w:t xml:space="preserve">                     S2 = salive récoltée à minuit</w:t>
            </w:r>
            <w:r w:rsidR="002B2B61">
              <w:rPr>
                <w:rFonts w:ascii="Arial" w:eastAsia="Arial" w:hAnsi="Arial" w:cs="Arial"/>
                <w:color w:val="000000"/>
                <w:sz w:val="24"/>
              </w:rPr>
              <w:t> ;</w:t>
            </w:r>
          </w:p>
          <w:p w14:paraId="26F41308" w14:textId="5E4283B8" w:rsidR="00C2791F" w:rsidRPr="00ED2902" w:rsidRDefault="002B2B61" w:rsidP="00ED2902">
            <w:pPr>
              <w:pStyle w:val="Corpsdetexte"/>
              <w:numPr>
                <w:ilvl w:val="0"/>
                <w:numId w:val="4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uppressAutoHyphens w:val="0"/>
              <w:spacing w:after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e</w:t>
            </w:r>
            <w:r w:rsidR="00C2791F" w:rsidRPr="00ED2902">
              <w:rPr>
                <w:rFonts w:ascii="Arial" w:hAnsi="Arial" w:cs="Arial"/>
                <w:sz w:val="24"/>
                <w:szCs w:val="24"/>
              </w:rPr>
              <w:t>au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57DF1A9" w14:textId="3EBBFD08" w:rsidR="0066142F" w:rsidRPr="00034D1C" w:rsidRDefault="002B2B61" w:rsidP="002B2B61">
            <w:pPr>
              <w:pStyle w:val="Corpsdetexte"/>
              <w:numPr>
                <w:ilvl w:val="0"/>
                <w:numId w:val="41"/>
              </w:numPr>
              <w:suppressAutoHyphens w:val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="00C2791F">
              <w:rPr>
                <w:rFonts w:ascii="Arial" w:hAnsi="Arial" w:cs="Arial"/>
                <w:sz w:val="24"/>
                <w:szCs w:val="24"/>
              </w:rPr>
              <w:t>iche</w:t>
            </w:r>
            <w:proofErr w:type="gramEnd"/>
            <w:r w:rsidR="00C279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1E6A">
              <w:rPr>
                <w:rFonts w:ascii="Arial" w:hAnsi="Arial" w:cs="Arial"/>
                <w:sz w:val="24"/>
                <w:szCs w:val="24"/>
              </w:rPr>
              <w:t>protocole</w:t>
            </w:r>
            <w:r w:rsidR="00C2791F">
              <w:rPr>
                <w:rFonts w:ascii="Arial" w:hAnsi="Arial" w:cs="Arial"/>
                <w:sz w:val="24"/>
                <w:szCs w:val="24"/>
              </w:rPr>
              <w:t xml:space="preserve"> test ELISA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561D8" w14:textId="6E4D257B" w:rsidR="00E73924" w:rsidRPr="00C2791F" w:rsidRDefault="00E73924" w:rsidP="00C2791F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D915E7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75DAEFDA" w14:textId="40D565A5" w:rsidR="00C2791F" w:rsidRPr="00192AB6" w:rsidRDefault="00E73924" w:rsidP="00F4689F">
            <w:pPr>
              <w:widowControl w:val="0"/>
              <w:shd w:val="clear" w:color="auto" w:fill="FFFFFF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E73924"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="003E5DE7">
              <w:rPr>
                <w:rFonts w:ascii="Arial" w:hAnsi="Arial" w:cs="Arial"/>
                <w:sz w:val="24"/>
                <w:szCs w:val="24"/>
              </w:rPr>
              <w:t>r</w:t>
            </w:r>
            <w:r w:rsidR="00C2791F" w:rsidRPr="00192AB6">
              <w:rPr>
                <w:rFonts w:ascii="Arial" w:hAnsi="Arial" w:cs="Arial"/>
                <w:b/>
                <w:sz w:val="24"/>
                <w:szCs w:val="24"/>
              </w:rPr>
              <w:t xml:space="preserve">éaliser </w:t>
            </w:r>
            <w:r w:rsidR="00C2791F" w:rsidRPr="00192AB6">
              <w:rPr>
                <w:rFonts w:ascii="Arial" w:hAnsi="Arial" w:cs="Arial"/>
                <w:sz w:val="24"/>
                <w:szCs w:val="24"/>
              </w:rPr>
              <w:t xml:space="preserve">un test ELISA </w:t>
            </w:r>
            <w:r w:rsidR="00ED2902">
              <w:rPr>
                <w:rFonts w:ascii="Arial" w:hAnsi="Arial" w:cs="Arial"/>
                <w:sz w:val="24"/>
                <w:szCs w:val="24"/>
              </w:rPr>
              <w:t>en suivant la fiche technique et en composant 7 puits selon le tableau suivant :</w:t>
            </w:r>
            <w:r w:rsidR="00F468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B30788D" w14:textId="77777777" w:rsidR="00C2791F" w:rsidRDefault="00C2791F" w:rsidP="00C2791F">
            <w:pPr>
              <w:widowControl w:val="0"/>
              <w:shd w:val="clear" w:color="auto" w:fill="FFFFFF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Grilledutableau"/>
              <w:tblW w:w="7342" w:type="dxa"/>
              <w:tblInd w:w="171" w:type="dxa"/>
              <w:tblLayout w:type="fixed"/>
              <w:tblLook w:val="04A0" w:firstRow="1" w:lastRow="0" w:firstColumn="1" w:lastColumn="0" w:noHBand="0" w:noVBand="1"/>
            </w:tblPr>
            <w:tblGrid>
              <w:gridCol w:w="1416"/>
              <w:gridCol w:w="1560"/>
              <w:gridCol w:w="2409"/>
              <w:gridCol w:w="1957"/>
            </w:tblGrid>
            <w:tr w:rsidR="00C2791F" w14:paraId="002CA64F" w14:textId="77777777" w:rsidTr="00ED2902">
              <w:tc>
                <w:tcPr>
                  <w:tcW w:w="1416" w:type="dxa"/>
                  <w:vAlign w:val="center"/>
                </w:tcPr>
                <w:p w14:paraId="3D8DAAE4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Puits N°</w:t>
                  </w:r>
                </w:p>
              </w:tc>
              <w:tc>
                <w:tcPr>
                  <w:tcW w:w="1560" w:type="dxa"/>
                  <w:vAlign w:val="center"/>
                </w:tcPr>
                <w:p w14:paraId="7EE1B56E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Solution à tester</w:t>
                  </w:r>
                </w:p>
              </w:tc>
              <w:tc>
                <w:tcPr>
                  <w:tcW w:w="2409" w:type="dxa"/>
                  <w:vAlign w:val="center"/>
                </w:tcPr>
                <w:p w14:paraId="33FA3D8A" w14:textId="19930987" w:rsidR="00C2791F" w:rsidRDefault="00F734FD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Anticorps</w:t>
                  </w:r>
                  <w:r w:rsidR="00C2791F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de détection couplés à l’enzyme</w:t>
                  </w:r>
                </w:p>
              </w:tc>
              <w:tc>
                <w:tcPr>
                  <w:tcW w:w="1957" w:type="dxa"/>
                  <w:vAlign w:val="center"/>
                </w:tcPr>
                <w:p w14:paraId="2217A549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Solution de révélation </w:t>
                  </w:r>
                </w:p>
              </w:tc>
            </w:tr>
            <w:tr w:rsidR="00ED2902" w14:paraId="40167AE1" w14:textId="77777777" w:rsidTr="00ED2902">
              <w:trPr>
                <w:trHeight w:val="454"/>
              </w:trPr>
              <w:tc>
                <w:tcPr>
                  <w:tcW w:w="7342" w:type="dxa"/>
                  <w:gridSpan w:val="4"/>
                  <w:vAlign w:val="center"/>
                </w:tcPr>
                <w:p w14:paraId="47F293A2" w14:textId="04702566" w:rsidR="00ED2902" w:rsidRDefault="00ED2902" w:rsidP="00ED2902">
                  <w:pPr>
                    <w:widowControl w:val="0"/>
                    <w:ind w:right="17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Puits contenant des solutions de concentration connues :</w:t>
                  </w:r>
                </w:p>
              </w:tc>
            </w:tr>
            <w:tr w:rsidR="00C2791F" w14:paraId="5174F379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4BF4CE6F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560" w:type="dxa"/>
                </w:tcPr>
                <w:p w14:paraId="09A058D6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C1</w:t>
                  </w:r>
                </w:p>
              </w:tc>
              <w:tc>
                <w:tcPr>
                  <w:tcW w:w="2409" w:type="dxa"/>
                </w:tcPr>
                <w:p w14:paraId="677CC9CE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3956C94A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Oui</w:t>
                  </w:r>
                </w:p>
              </w:tc>
            </w:tr>
            <w:tr w:rsidR="00C2791F" w14:paraId="2BD97615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0EAD4FC3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560" w:type="dxa"/>
                </w:tcPr>
                <w:p w14:paraId="29D9A769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C2</w:t>
                  </w:r>
                </w:p>
              </w:tc>
              <w:tc>
                <w:tcPr>
                  <w:tcW w:w="2409" w:type="dxa"/>
                </w:tcPr>
                <w:p w14:paraId="1DF82A22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54751CAA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Oui</w:t>
                  </w:r>
                </w:p>
              </w:tc>
            </w:tr>
            <w:tr w:rsidR="00C2791F" w14:paraId="57AE4088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5093D2AD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560" w:type="dxa"/>
                </w:tcPr>
                <w:p w14:paraId="520628E3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C3</w:t>
                  </w:r>
                </w:p>
              </w:tc>
              <w:tc>
                <w:tcPr>
                  <w:tcW w:w="2409" w:type="dxa"/>
                </w:tcPr>
                <w:p w14:paraId="515B77D6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3D1131BF" w14:textId="77777777" w:rsidR="00C2791F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Oui</w:t>
                  </w:r>
                </w:p>
              </w:tc>
            </w:tr>
            <w:tr w:rsidR="00C2791F" w14:paraId="7C55B3CF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52EE7A92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560" w:type="dxa"/>
                </w:tcPr>
                <w:p w14:paraId="21E112BA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C4</w:t>
                  </w:r>
                </w:p>
              </w:tc>
              <w:tc>
                <w:tcPr>
                  <w:tcW w:w="2409" w:type="dxa"/>
                </w:tcPr>
                <w:p w14:paraId="52981B52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305D0A02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</w:tr>
            <w:tr w:rsidR="00ED2902" w14:paraId="09A6683D" w14:textId="77777777" w:rsidTr="00ED2902">
              <w:trPr>
                <w:trHeight w:val="454"/>
              </w:trPr>
              <w:tc>
                <w:tcPr>
                  <w:tcW w:w="7342" w:type="dxa"/>
                  <w:gridSpan w:val="4"/>
                  <w:vAlign w:val="center"/>
                </w:tcPr>
                <w:p w14:paraId="473CFC43" w14:textId="76095C34" w:rsidR="00ED2902" w:rsidRPr="007A16F4" w:rsidRDefault="00ED2902" w:rsidP="00ED2902">
                  <w:pPr>
                    <w:widowControl w:val="0"/>
                    <w:ind w:right="17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Puits contenant la salive du patient :</w:t>
                  </w:r>
                </w:p>
              </w:tc>
            </w:tr>
            <w:tr w:rsidR="00C2791F" w14:paraId="368E5420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7EDFF82B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560" w:type="dxa"/>
                </w:tcPr>
                <w:p w14:paraId="71408014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S1</w:t>
                  </w:r>
                </w:p>
              </w:tc>
              <w:tc>
                <w:tcPr>
                  <w:tcW w:w="2409" w:type="dxa"/>
                </w:tcPr>
                <w:p w14:paraId="527E8636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5AEFA4B3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</w:tr>
            <w:tr w:rsidR="00C2791F" w14:paraId="7A3E357B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0D3E1516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560" w:type="dxa"/>
                </w:tcPr>
                <w:p w14:paraId="21BBAF15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S2</w:t>
                  </w:r>
                </w:p>
              </w:tc>
              <w:tc>
                <w:tcPr>
                  <w:tcW w:w="2409" w:type="dxa"/>
                </w:tcPr>
                <w:p w14:paraId="3838740C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68C8CBC5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</w:tr>
            <w:tr w:rsidR="00ED2902" w14:paraId="60DE28AD" w14:textId="77777777" w:rsidTr="00ED2902">
              <w:trPr>
                <w:trHeight w:val="454"/>
              </w:trPr>
              <w:tc>
                <w:tcPr>
                  <w:tcW w:w="7342" w:type="dxa"/>
                  <w:gridSpan w:val="4"/>
                  <w:vAlign w:val="center"/>
                </w:tcPr>
                <w:p w14:paraId="760CB73A" w14:textId="0E166AA7" w:rsidR="00ED2902" w:rsidRDefault="00ED2902" w:rsidP="00ED2902">
                  <w:pPr>
                    <w:widowControl w:val="0"/>
                    <w:ind w:right="170"/>
                    <w:jc w:val="left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Puits « témoin négatif » :</w:t>
                  </w:r>
                </w:p>
              </w:tc>
            </w:tr>
            <w:tr w:rsidR="00C2791F" w14:paraId="5B839AE0" w14:textId="77777777" w:rsidTr="00ED2902">
              <w:trPr>
                <w:trHeight w:val="340"/>
              </w:trPr>
              <w:tc>
                <w:tcPr>
                  <w:tcW w:w="1416" w:type="dxa"/>
                </w:tcPr>
                <w:p w14:paraId="3F96A59F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b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560" w:type="dxa"/>
                </w:tcPr>
                <w:p w14:paraId="115C9B02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eau</w:t>
                  </w:r>
                </w:p>
              </w:tc>
              <w:tc>
                <w:tcPr>
                  <w:tcW w:w="2409" w:type="dxa"/>
                </w:tcPr>
                <w:p w14:paraId="28B351D4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Oui</w:t>
                  </w:r>
                </w:p>
              </w:tc>
              <w:tc>
                <w:tcPr>
                  <w:tcW w:w="1957" w:type="dxa"/>
                </w:tcPr>
                <w:p w14:paraId="0256EB0A" w14:textId="77777777" w:rsidR="00C2791F" w:rsidRPr="007A16F4" w:rsidRDefault="00C2791F" w:rsidP="00B5561B">
                  <w:pPr>
                    <w:widowControl w:val="0"/>
                    <w:ind w:right="170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O</w:t>
                  </w:r>
                  <w:r w:rsidRPr="007A16F4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</w:rPr>
                    <w:t>ui</w:t>
                  </w:r>
                </w:p>
              </w:tc>
            </w:tr>
          </w:tbl>
          <w:p w14:paraId="2684D57F" w14:textId="73C81D92" w:rsidR="00C2791F" w:rsidRPr="00F4689F" w:rsidRDefault="00C2791F" w:rsidP="00F4689F">
            <w:pPr>
              <w:tabs>
                <w:tab w:val="left" w:pos="319"/>
              </w:tabs>
              <w:jc w:val="both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</w:tr>
      <w:tr w:rsidR="007F07D8" w:rsidRPr="007F07D8" w14:paraId="4FD85E36" w14:textId="77777777" w:rsidTr="00B21CC1">
        <w:trPr>
          <w:trHeight w:val="20"/>
        </w:trPr>
        <w:tc>
          <w:tcPr>
            <w:tcW w:w="7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56863" w14:textId="77777777" w:rsidR="007F07D8" w:rsidRPr="007F07D8" w:rsidRDefault="007F07D8" w:rsidP="007F07D8">
            <w:pPr>
              <w:pStyle w:val="docdata"/>
              <w:spacing w:before="120" w:beforeAutospacing="0" w:after="120" w:afterAutospacing="0"/>
              <w:jc w:val="both"/>
              <w:rPr>
                <w:color w:val="000000" w:themeColor="text1"/>
              </w:rPr>
            </w:pPr>
            <w:r w:rsidRPr="007F07D8">
              <w:rPr>
                <w:rFonts w:ascii="Arial" w:hAnsi="Arial" w:cs="Arial"/>
                <w:b/>
                <w:bCs/>
                <w:color w:val="000000" w:themeColor="text1"/>
              </w:rPr>
              <w:t>Sécurité (logo et signification) :</w:t>
            </w:r>
          </w:p>
          <w:p w14:paraId="15E88D2B" w14:textId="77777777" w:rsidR="002B2B61" w:rsidRPr="007F07D8" w:rsidRDefault="007F07D8" w:rsidP="007F07D8">
            <w:pPr>
              <w:pStyle w:val="NormalWeb"/>
              <w:spacing w:before="120" w:after="120"/>
              <w:rPr>
                <w:color w:val="000000" w:themeColor="text1"/>
              </w:rPr>
            </w:pPr>
            <w:r w:rsidRPr="007F07D8">
              <w:rPr>
                <w:rFonts w:ascii="Arial" w:eastAsia="Calibri" w:hAnsi="Arial" w:cs="Arial"/>
                <w:b/>
                <w:noProof/>
                <w:color w:val="000000" w:themeColor="text1"/>
                <w:lang w:eastAsia="fr-FR"/>
              </w:rPr>
              <w:drawing>
                <wp:inline distT="0" distB="0" distL="0" distR="0" wp14:anchorId="78AAA291" wp14:editId="5C391DDC">
                  <wp:extent cx="648000" cy="6480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000" cy="6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916B51" w14:textId="33C712F4" w:rsidR="007F07D8" w:rsidRPr="007F07D8" w:rsidRDefault="007F07D8" w:rsidP="007F07D8">
            <w:pPr>
              <w:pStyle w:val="NormalWeb"/>
              <w:spacing w:before="120" w:after="120"/>
              <w:rPr>
                <w:rFonts w:ascii="Arial" w:hAnsi="Arial" w:cs="Arial"/>
                <w:color w:val="000000" w:themeColor="text1"/>
              </w:rPr>
            </w:pPr>
            <w:r w:rsidRPr="007F07D8">
              <w:rPr>
                <w:rFonts w:ascii="Arial" w:hAnsi="Arial" w:cs="Arial"/>
                <w:color w:val="000000" w:themeColor="text1"/>
              </w:rPr>
              <w:t>Solution de révélation</w:t>
            </w:r>
          </w:p>
        </w:tc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BBD3A" w14:textId="1600B71F" w:rsidR="002B2B61" w:rsidRDefault="002B2B61" w:rsidP="00900D9F">
            <w:pPr>
              <w:spacing w:before="120" w:after="120"/>
              <w:jc w:val="both"/>
              <w:outlineLvl w:val="3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7F07D8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Équipements de protection individuelle :</w:t>
            </w:r>
          </w:p>
          <w:p w14:paraId="6AA4D04F" w14:textId="1E5DCD5D" w:rsidR="002B2B61" w:rsidRPr="00900D9F" w:rsidRDefault="00900D9F" w:rsidP="00900D9F">
            <w:pPr>
              <w:spacing w:before="120" w:after="120"/>
              <w:outlineLvl w:val="3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52A70A8E" wp14:editId="6D4CD362">
                  <wp:extent cx="720000" cy="720000"/>
                  <wp:effectExtent l="0" t="0" r="4445" b="4445"/>
                  <wp:docPr id="10" name="Image 19" descr="C:\Users\avialar\Documents\dossiers_travail\SVT\sécurité\pictogrammes\Pictogrammes2023_VGuili\lunett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vialar\Documents\dossiers_travail\SVT\sécurité\pictogrammes\Pictogrammes2023_VGuili\lunettes.png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5EB2CFCA" wp14:editId="3C4351C2">
                  <wp:extent cx="720000" cy="720000"/>
                  <wp:effectExtent l="0" t="0" r="4445" b="4445"/>
                  <wp:docPr id="12" name="Image 3" descr="C:\Users\avialar\Documents\dossiers_travail\SVT\sécurité\pictogrammes\Pictogrammes2023_VGuili\gant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vialar\Documents\dossiers_travail\SVT\sécurité\pictogrammes\Pictogrammes2023_VGuili\gants.png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2E68FF32" wp14:editId="0D12DE75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96E3E0" w14:textId="77777777" w:rsidR="00220A2C" w:rsidRDefault="00220A2C" w:rsidP="00C2791F">
      <w:pPr>
        <w:jc w:val="right"/>
        <w:rPr>
          <w:rFonts w:ascii="Arial" w:hAnsi="Arial" w:cs="Arial"/>
          <w:sz w:val="24"/>
          <w:szCs w:val="24"/>
        </w:rPr>
      </w:pPr>
    </w:p>
    <w:p w14:paraId="1E3E4BF7" w14:textId="77777777" w:rsidR="00220A2C" w:rsidRDefault="00220A2C">
      <w:pPr>
        <w:suppressAutoHyphens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94236EE" w14:textId="2CB105F5" w:rsidR="00ED52CE" w:rsidRPr="00C2791F" w:rsidRDefault="00ED52CE" w:rsidP="00C2791F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15569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1"/>
        <w:gridCol w:w="7938"/>
      </w:tblGrid>
      <w:tr w:rsidR="00C2791F" w14:paraId="226E7641" w14:textId="77777777" w:rsidTr="002349A9">
        <w:trPr>
          <w:trHeight w:val="174"/>
        </w:trPr>
        <w:tc>
          <w:tcPr>
            <w:tcW w:w="15569" w:type="dxa"/>
            <w:gridSpan w:val="2"/>
            <w:shd w:val="clear" w:color="auto" w:fill="D9D9D9"/>
            <w:vAlign w:val="center"/>
          </w:tcPr>
          <w:p w14:paraId="1844CCB8" w14:textId="77777777" w:rsidR="00C2791F" w:rsidRDefault="00C2791F" w:rsidP="00B21CC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C2791F" w14:paraId="3973417B" w14:textId="77777777" w:rsidTr="002349A9">
        <w:trPr>
          <w:trHeight w:val="77"/>
        </w:trPr>
        <w:tc>
          <w:tcPr>
            <w:tcW w:w="7631" w:type="dxa"/>
            <w:shd w:val="clear" w:color="auto" w:fill="auto"/>
          </w:tcPr>
          <w:p w14:paraId="33708E96" w14:textId="77777777" w:rsidR="00900D9F" w:rsidRPr="002B2B61" w:rsidRDefault="00900D9F" w:rsidP="00900D9F">
            <w:pPr>
              <w:tabs>
                <w:tab w:val="left" w:pos="0"/>
              </w:tabs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2B2B61">
              <w:rPr>
                <w:rFonts w:ascii="Arial" w:hAnsi="Arial" w:cs="Arial"/>
                <w:b/>
                <w:sz w:val="24"/>
                <w:szCs w:val="24"/>
              </w:rPr>
              <w:t>Cycle de sécrétion du cortisol :</w:t>
            </w:r>
          </w:p>
          <w:p w14:paraId="001AED42" w14:textId="77777777" w:rsidR="00900D9F" w:rsidRDefault="00900D9F" w:rsidP="00900D9F">
            <w:pPr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>La sécrétion du cortisol dans la circulation générale par les glandes surrénales suit un rythme cyclique au cours de la journée.</w:t>
            </w:r>
          </w:p>
          <w:p w14:paraId="240CAB82" w14:textId="77777777" w:rsidR="00900D9F" w:rsidRDefault="00900D9F" w:rsidP="00900D9F">
            <w:pPr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 xml:space="preserve">Le taux de cortisol salivaire reflète fidèlement du taux de cortisol sanguin. </w:t>
            </w:r>
          </w:p>
          <w:p w14:paraId="151C6C5A" w14:textId="77777777" w:rsidR="00900D9F" w:rsidRDefault="00900D9F" w:rsidP="00900D9F">
            <w:pPr>
              <w:spacing w:after="120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186EE0E" wp14:editId="40676794">
                  <wp:extent cx="4417234" cy="3114392"/>
                  <wp:effectExtent l="0" t="0" r="2540" b="0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051628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/>
                          <a:srcRect r="7601" b="5482"/>
                          <a:stretch/>
                        </pic:blipFill>
                        <pic:spPr bwMode="auto">
                          <a:xfrm>
                            <a:off x="0" y="0"/>
                            <a:ext cx="4418090" cy="3114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E757D8D" w14:textId="77777777" w:rsidR="00900D9F" w:rsidRDefault="00900D9F" w:rsidP="00900D9F">
            <w:pPr>
              <w:spacing w:before="120" w:after="120"/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>La sécrétion du cortisol est cyclique au cours de la journée.</w:t>
            </w:r>
          </w:p>
          <w:p w14:paraId="4F9F5CFD" w14:textId="7C5E87A6" w:rsidR="00C2791F" w:rsidRDefault="00900D9F" w:rsidP="00900D9F">
            <w:pPr>
              <w:spacing w:before="120" w:after="120"/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Modifié d’après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Vining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et al. (1983)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Annals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of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Clinical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Biochemistry</w:t>
            </w:r>
            <w:proofErr w:type="spellEnd"/>
          </w:p>
        </w:tc>
        <w:tc>
          <w:tcPr>
            <w:tcW w:w="7938" w:type="dxa"/>
            <w:shd w:val="clear" w:color="auto" w:fill="auto"/>
          </w:tcPr>
          <w:p w14:paraId="54B18942" w14:textId="7C972D3B" w:rsidR="00C2791F" w:rsidRPr="002B2B61" w:rsidRDefault="00C2791F" w:rsidP="003E5DE7">
            <w:pPr>
              <w:pStyle w:val="Paragraphedeliste"/>
              <w:spacing w:before="120" w:after="120"/>
              <w:ind w:left="0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2B2B6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Principe du dosage d'une molécule par la technique </w:t>
            </w:r>
            <w:r w:rsidR="00404715" w:rsidRPr="002B2B61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du </w:t>
            </w:r>
            <w:r w:rsidRPr="002B2B61">
              <w:rPr>
                <w:rFonts w:ascii="Arial" w:hAnsi="Arial" w:cs="Arial"/>
                <w:b/>
                <w:sz w:val="24"/>
                <w:szCs w:val="24"/>
              </w:rPr>
              <w:t>test ELISA « sandwich »</w:t>
            </w:r>
            <w:r w:rsidR="002B2B61">
              <w:rPr>
                <w:rFonts w:ascii="Arial" w:hAnsi="Arial" w:cs="Arial"/>
                <w:b/>
                <w:sz w:val="24"/>
                <w:szCs w:val="24"/>
              </w:rPr>
              <w:t> :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61"/>
              <w:gridCol w:w="1861"/>
              <w:gridCol w:w="1861"/>
              <w:gridCol w:w="1862"/>
            </w:tblGrid>
            <w:tr w:rsidR="00C2791F" w14:paraId="1AF8F5D4" w14:textId="77777777" w:rsidTr="002B2B61">
              <w:trPr>
                <w:trHeight w:val="1426"/>
              </w:trPr>
              <w:tc>
                <w:tcPr>
                  <w:tcW w:w="1861" w:type="dxa"/>
                  <w:vAlign w:val="bottom"/>
                </w:tcPr>
                <w:p w14:paraId="1B481CC5" w14:textId="621DCD15" w:rsidR="00C2791F" w:rsidRPr="002820D9" w:rsidRDefault="00C2791F" w:rsidP="002820D9">
                  <w:pPr>
                    <w:rPr>
                      <w:rFonts w:ascii="Arial" w:hAnsi="Arial" w:cs="Arial"/>
                      <w:sz w:val="20"/>
                      <w:szCs w:val="24"/>
                    </w:rPr>
                  </w:pPr>
                  <w:r>
                    <w:rPr>
                      <w:rFonts w:ascii="Arial" w:hAnsi="Arial" w:cs="Arial"/>
                      <w:sz w:val="20"/>
                      <w:szCs w:val="24"/>
                    </w:rPr>
                    <w:t>Anticorps d</w:t>
                  </w:r>
                  <w:r w:rsidR="002820D9">
                    <w:rPr>
                      <w:rFonts w:ascii="Arial" w:hAnsi="Arial" w:cs="Arial"/>
                      <w:sz w:val="20"/>
                      <w:szCs w:val="24"/>
                    </w:rPr>
                    <w:t>irigé contre la molécule à doser déjà fixé</w:t>
                  </w:r>
                </w:p>
              </w:tc>
              <w:tc>
                <w:tcPr>
                  <w:tcW w:w="1861" w:type="dxa"/>
                  <w:vAlign w:val="bottom"/>
                </w:tcPr>
                <w:p w14:paraId="4EC57363" w14:textId="3A43E204" w:rsidR="00C2791F" w:rsidRPr="002820D9" w:rsidRDefault="00C2791F" w:rsidP="002820D9">
                  <w:r>
                    <w:rPr>
                      <w:rFonts w:ascii="Arial" w:hAnsi="Arial" w:cs="Arial"/>
                      <w:sz w:val="20"/>
                      <w:szCs w:val="24"/>
                    </w:rPr>
                    <w:t>Fixation de la molécule à doser sur l’anticorps</w:t>
                  </w:r>
                </w:p>
              </w:tc>
              <w:tc>
                <w:tcPr>
                  <w:tcW w:w="1861" w:type="dxa"/>
                  <w:vAlign w:val="bottom"/>
                </w:tcPr>
                <w:p w14:paraId="7A95E05A" w14:textId="7F825062" w:rsidR="00C2791F" w:rsidRPr="002349A9" w:rsidRDefault="00C2791F" w:rsidP="002820D9">
                  <w:pPr>
                    <w:rPr>
                      <w:sz w:val="20"/>
                      <w:szCs w:val="20"/>
                    </w:rPr>
                  </w:pPr>
                  <w:r w:rsidRPr="002349A9">
                    <w:rPr>
                      <w:rFonts w:ascii="Arial" w:hAnsi="Arial" w:cs="Arial"/>
                      <w:sz w:val="20"/>
                      <w:szCs w:val="20"/>
                    </w:rPr>
                    <w:t>Reconnaissance de la molécule par l’anticorps de détection</w:t>
                  </w:r>
                </w:p>
              </w:tc>
              <w:tc>
                <w:tcPr>
                  <w:tcW w:w="1862" w:type="dxa"/>
                  <w:vAlign w:val="center"/>
                </w:tcPr>
                <w:p w14:paraId="672F41B7" w14:textId="3D262C4D" w:rsidR="00C2791F" w:rsidRPr="002820D9" w:rsidRDefault="00C2791F" w:rsidP="002820D9">
                  <w:r>
                    <w:rPr>
                      <w:rFonts w:ascii="Arial" w:hAnsi="Arial" w:cs="Arial"/>
                      <w:sz w:val="20"/>
                      <w:szCs w:val="24"/>
                    </w:rPr>
                    <w:t>Coloration de la solution de révélation proportionnelle à la quantité de molécule dosée</w:t>
                  </w:r>
                </w:p>
              </w:tc>
            </w:tr>
            <w:tr w:rsidR="00C2791F" w14:paraId="5D30BD40" w14:textId="77777777" w:rsidTr="00404715">
              <w:trPr>
                <w:trHeight w:val="2666"/>
              </w:trPr>
              <w:tc>
                <w:tcPr>
                  <w:tcW w:w="7445" w:type="dxa"/>
                  <w:gridSpan w:val="4"/>
                </w:tcPr>
                <w:p w14:paraId="5BFB9284" w14:textId="34D60B8D" w:rsidR="00C2791F" w:rsidRDefault="002820D9" w:rsidP="00B5561B">
                  <w:pPr>
                    <w:jc w:val="both"/>
                    <w:rPr>
                      <w:rFonts w:ascii="Arial" w:hAnsi="Arial" w:cs="Arial"/>
                      <w:color w:val="000000"/>
                      <w:sz w:val="24"/>
                      <w:szCs w:val="24"/>
                      <w:shd w:val="clear" w:color="auto" w:fill="FFFFFF"/>
                    </w:rPr>
                  </w:pPr>
                  <w:r w:rsidRPr="002820D9">
                    <w:rPr>
                      <w:rFonts w:ascii="Arial" w:hAnsi="Arial" w:cs="Arial"/>
                      <w:noProof/>
                      <w:sz w:val="24"/>
                      <w:lang w:eastAsia="fr-FR"/>
                    </w:rPr>
                    <w:drawing>
                      <wp:inline distT="0" distB="0" distL="0" distR="0" wp14:anchorId="1285EB3B" wp14:editId="3B647578">
                        <wp:extent cx="4561863" cy="1630680"/>
                        <wp:effectExtent l="0" t="0" r="0" b="7620"/>
                        <wp:docPr id="9" name="Imag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568634" cy="16331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31D91E49" w14:textId="77777777" w:rsidR="00C2791F" w:rsidRDefault="00C2791F" w:rsidP="00B5561B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14:paraId="716BAEC8" w14:textId="6309AF59" w:rsidR="00C2791F" w:rsidRDefault="00C2791F" w:rsidP="00B5561B">
            <w:pPr>
              <w:rPr>
                <w:rFonts w:ascii="Arial" w:hAnsi="Arial" w:cs="Arial"/>
                <w:bCs/>
              </w:rPr>
            </w:pPr>
          </w:p>
          <w:p w14:paraId="4B1D2DCF" w14:textId="77777777" w:rsidR="00C2791F" w:rsidRDefault="00C2791F" w:rsidP="00B5561B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</w:p>
        </w:tc>
      </w:tr>
    </w:tbl>
    <w:p w14:paraId="22D71AC0" w14:textId="312A017B" w:rsidR="00046F3F" w:rsidRDefault="00046F3F" w:rsidP="00ED52CE">
      <w:pPr>
        <w:rPr>
          <w:sz w:val="24"/>
          <w:szCs w:val="24"/>
        </w:rPr>
      </w:pPr>
    </w:p>
    <w:p w14:paraId="3FB9B76B" w14:textId="77777777" w:rsidR="00046F3F" w:rsidRDefault="00046F3F" w:rsidP="00F734FD">
      <w:pPr>
        <w:jc w:val="both"/>
        <w:rPr>
          <w:sz w:val="24"/>
          <w:szCs w:val="24"/>
        </w:rPr>
      </w:pPr>
    </w:p>
    <w:sectPr w:rsidR="00046F3F" w:rsidSect="003D2E76">
      <w:headerReference w:type="default" r:id="rId13"/>
      <w:pgSz w:w="16838" w:h="11906" w:orient="landscape"/>
      <w:pgMar w:top="720" w:right="720" w:bottom="720" w:left="720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DA92D" w14:textId="77777777" w:rsidR="00074232" w:rsidRDefault="00074232">
      <w:r>
        <w:separator/>
      </w:r>
    </w:p>
  </w:endnote>
  <w:endnote w:type="continuationSeparator" w:id="0">
    <w:p w14:paraId="58BB0702" w14:textId="77777777" w:rsidR="00074232" w:rsidRDefault="00074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526F6" w14:textId="77777777" w:rsidR="00074232" w:rsidRDefault="00074232">
      <w:r>
        <w:separator/>
      </w:r>
    </w:p>
  </w:footnote>
  <w:footnote w:type="continuationSeparator" w:id="0">
    <w:p w14:paraId="0953F7FF" w14:textId="77777777" w:rsidR="00074232" w:rsidRDefault="00074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C27D62" w14:textId="1BC1219D" w:rsidR="00220A2C" w:rsidRPr="00054A21" w:rsidRDefault="00742842" w:rsidP="003D2E76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tabs>
        <w:tab w:val="left" w:pos="2025"/>
        <w:tab w:val="center" w:pos="7699"/>
      </w:tabs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r>
      <w:rPr>
        <w:rFonts w:ascii="Arial" w:hAnsi="Arial" w:cs="Arial"/>
        <w:b/>
        <w:bCs/>
        <w:sz w:val="24"/>
        <w:szCs w:val="24"/>
      </w:rPr>
      <w:t xml:space="preserve">Diagnostiquer le syndrome de Cushing </w:t>
    </w:r>
    <w:r w:rsidR="00054A21">
      <w:rPr>
        <w:rFonts w:ascii="Arial" w:hAnsi="Arial" w:cs="Arial"/>
        <w:b/>
        <w:bCs/>
        <w:sz w:val="24"/>
        <w:szCs w:val="24"/>
      </w:rPr>
      <w:t>par un test</w:t>
    </w:r>
    <w:r>
      <w:rPr>
        <w:rFonts w:ascii="Arial" w:hAnsi="Arial" w:cs="Arial"/>
        <w:b/>
        <w:bCs/>
        <w:sz w:val="24"/>
        <w:szCs w:val="24"/>
      </w:rPr>
      <w:t xml:space="preserve"> ELISA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5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7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1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29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923546E"/>
    <w:multiLevelType w:val="hybridMultilevel"/>
    <w:tmpl w:val="6E181074"/>
    <w:lvl w:ilvl="0" w:tplc="770CA0BC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auto"/>
      </w:rPr>
    </w:lvl>
    <w:lvl w:ilvl="1" w:tplc="D832A5E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1C462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12200A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73AB9E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440EAF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A5ADF3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AC8E390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21EF1F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0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0"/>
  </w:num>
  <w:num w:numId="5">
    <w:abstractNumId w:val="3"/>
  </w:num>
  <w:num w:numId="6">
    <w:abstractNumId w:val="12"/>
  </w:num>
  <w:num w:numId="7">
    <w:abstractNumId w:val="31"/>
  </w:num>
  <w:num w:numId="8">
    <w:abstractNumId w:val="36"/>
  </w:num>
  <w:num w:numId="9">
    <w:abstractNumId w:val="39"/>
  </w:num>
  <w:num w:numId="10">
    <w:abstractNumId w:val="6"/>
  </w:num>
  <w:num w:numId="11">
    <w:abstractNumId w:val="21"/>
  </w:num>
  <w:num w:numId="12">
    <w:abstractNumId w:val="4"/>
  </w:num>
  <w:num w:numId="13">
    <w:abstractNumId w:val="32"/>
  </w:num>
  <w:num w:numId="14">
    <w:abstractNumId w:val="25"/>
  </w:num>
  <w:num w:numId="15">
    <w:abstractNumId w:val="19"/>
  </w:num>
  <w:num w:numId="16">
    <w:abstractNumId w:val="22"/>
  </w:num>
  <w:num w:numId="17">
    <w:abstractNumId w:val="24"/>
  </w:num>
  <w:num w:numId="18">
    <w:abstractNumId w:val="15"/>
  </w:num>
  <w:num w:numId="19">
    <w:abstractNumId w:val="26"/>
  </w:num>
  <w:num w:numId="20">
    <w:abstractNumId w:val="23"/>
  </w:num>
  <w:num w:numId="21">
    <w:abstractNumId w:val="9"/>
  </w:num>
  <w:num w:numId="22">
    <w:abstractNumId w:val="18"/>
  </w:num>
  <w:num w:numId="23">
    <w:abstractNumId w:val="34"/>
  </w:num>
  <w:num w:numId="24">
    <w:abstractNumId w:val="14"/>
  </w:num>
  <w:num w:numId="25">
    <w:abstractNumId w:val="37"/>
  </w:num>
  <w:num w:numId="26">
    <w:abstractNumId w:val="11"/>
  </w:num>
  <w:num w:numId="27">
    <w:abstractNumId w:val="10"/>
  </w:num>
  <w:num w:numId="28">
    <w:abstractNumId w:val="7"/>
  </w:num>
  <w:num w:numId="29">
    <w:abstractNumId w:val="17"/>
  </w:num>
  <w:num w:numId="30">
    <w:abstractNumId w:val="35"/>
  </w:num>
  <w:num w:numId="31">
    <w:abstractNumId w:val="38"/>
  </w:num>
  <w:num w:numId="32">
    <w:abstractNumId w:val="33"/>
  </w:num>
  <w:num w:numId="33">
    <w:abstractNumId w:val="16"/>
  </w:num>
  <w:num w:numId="34">
    <w:abstractNumId w:val="29"/>
  </w:num>
  <w:num w:numId="35">
    <w:abstractNumId w:val="27"/>
  </w:num>
  <w:num w:numId="36">
    <w:abstractNumId w:val="8"/>
  </w:num>
  <w:num w:numId="37">
    <w:abstractNumId w:val="5"/>
  </w:num>
  <w:num w:numId="38">
    <w:abstractNumId w:val="20"/>
  </w:num>
  <w:num w:numId="39">
    <w:abstractNumId w:val="28"/>
  </w:num>
  <w:num w:numId="40">
    <w:abstractNumId w:val="13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158"/>
    <w:rsid w:val="00013515"/>
    <w:rsid w:val="00016D55"/>
    <w:rsid w:val="000307E8"/>
    <w:rsid w:val="00034D1C"/>
    <w:rsid w:val="00046F3F"/>
    <w:rsid w:val="000545D1"/>
    <w:rsid w:val="00054A21"/>
    <w:rsid w:val="00061292"/>
    <w:rsid w:val="00074232"/>
    <w:rsid w:val="00092C0F"/>
    <w:rsid w:val="00094CFF"/>
    <w:rsid w:val="000A2444"/>
    <w:rsid w:val="000B422C"/>
    <w:rsid w:val="000B5941"/>
    <w:rsid w:val="000B6B27"/>
    <w:rsid w:val="000D3B3F"/>
    <w:rsid w:val="000D74D5"/>
    <w:rsid w:val="000E04C1"/>
    <w:rsid w:val="000E513C"/>
    <w:rsid w:val="000F3B1D"/>
    <w:rsid w:val="000F64D8"/>
    <w:rsid w:val="00103B12"/>
    <w:rsid w:val="001046E6"/>
    <w:rsid w:val="00107082"/>
    <w:rsid w:val="001131B2"/>
    <w:rsid w:val="00115115"/>
    <w:rsid w:val="00116A5C"/>
    <w:rsid w:val="001202DB"/>
    <w:rsid w:val="00134C70"/>
    <w:rsid w:val="00143595"/>
    <w:rsid w:val="00155886"/>
    <w:rsid w:val="00161E6A"/>
    <w:rsid w:val="00167AF4"/>
    <w:rsid w:val="00170166"/>
    <w:rsid w:val="00171EF7"/>
    <w:rsid w:val="00183C7E"/>
    <w:rsid w:val="00191696"/>
    <w:rsid w:val="00193FD8"/>
    <w:rsid w:val="001B0C42"/>
    <w:rsid w:val="001B7967"/>
    <w:rsid w:val="001D1FC3"/>
    <w:rsid w:val="001D2EB9"/>
    <w:rsid w:val="001D4FC2"/>
    <w:rsid w:val="001D5DCA"/>
    <w:rsid w:val="001D7A0D"/>
    <w:rsid w:val="001E3521"/>
    <w:rsid w:val="001F2F73"/>
    <w:rsid w:val="001F4AD7"/>
    <w:rsid w:val="00202F1C"/>
    <w:rsid w:val="00210773"/>
    <w:rsid w:val="00217B38"/>
    <w:rsid w:val="00220A2C"/>
    <w:rsid w:val="00225F3E"/>
    <w:rsid w:val="00233C6C"/>
    <w:rsid w:val="002349A9"/>
    <w:rsid w:val="00242290"/>
    <w:rsid w:val="002543B5"/>
    <w:rsid w:val="00256177"/>
    <w:rsid w:val="00261138"/>
    <w:rsid w:val="002657E0"/>
    <w:rsid w:val="002820D9"/>
    <w:rsid w:val="002839D0"/>
    <w:rsid w:val="0029323B"/>
    <w:rsid w:val="002A0BAD"/>
    <w:rsid w:val="002A1830"/>
    <w:rsid w:val="002B2B61"/>
    <w:rsid w:val="002B44BD"/>
    <w:rsid w:val="002B7518"/>
    <w:rsid w:val="002D588D"/>
    <w:rsid w:val="002D5D31"/>
    <w:rsid w:val="002E136A"/>
    <w:rsid w:val="002E3C0A"/>
    <w:rsid w:val="002E6A65"/>
    <w:rsid w:val="002F11A7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B18B5"/>
    <w:rsid w:val="003C4331"/>
    <w:rsid w:val="003D2E76"/>
    <w:rsid w:val="003D49D9"/>
    <w:rsid w:val="003D7860"/>
    <w:rsid w:val="003E5D79"/>
    <w:rsid w:val="003E5DE7"/>
    <w:rsid w:val="003F0BB8"/>
    <w:rsid w:val="003F72E5"/>
    <w:rsid w:val="00400918"/>
    <w:rsid w:val="00401B26"/>
    <w:rsid w:val="00404715"/>
    <w:rsid w:val="004067AA"/>
    <w:rsid w:val="00411EF9"/>
    <w:rsid w:val="00426465"/>
    <w:rsid w:val="00447138"/>
    <w:rsid w:val="0045192F"/>
    <w:rsid w:val="00451F00"/>
    <w:rsid w:val="004558B1"/>
    <w:rsid w:val="0046083E"/>
    <w:rsid w:val="00476125"/>
    <w:rsid w:val="00482158"/>
    <w:rsid w:val="004822BB"/>
    <w:rsid w:val="00486C6E"/>
    <w:rsid w:val="00491835"/>
    <w:rsid w:val="004A325B"/>
    <w:rsid w:val="004A633F"/>
    <w:rsid w:val="004A647D"/>
    <w:rsid w:val="004B0E3B"/>
    <w:rsid w:val="004B7817"/>
    <w:rsid w:val="004C0F04"/>
    <w:rsid w:val="004C6018"/>
    <w:rsid w:val="004D08EE"/>
    <w:rsid w:val="004D29C4"/>
    <w:rsid w:val="004E25BA"/>
    <w:rsid w:val="004E2A06"/>
    <w:rsid w:val="004F506A"/>
    <w:rsid w:val="00502F44"/>
    <w:rsid w:val="0051377D"/>
    <w:rsid w:val="00514077"/>
    <w:rsid w:val="00521E9F"/>
    <w:rsid w:val="00534877"/>
    <w:rsid w:val="0054079E"/>
    <w:rsid w:val="00543DA3"/>
    <w:rsid w:val="00544484"/>
    <w:rsid w:val="00557BDB"/>
    <w:rsid w:val="00561798"/>
    <w:rsid w:val="00580D46"/>
    <w:rsid w:val="00591EE0"/>
    <w:rsid w:val="005922E0"/>
    <w:rsid w:val="005924E4"/>
    <w:rsid w:val="005B4404"/>
    <w:rsid w:val="005B4C02"/>
    <w:rsid w:val="005C3F7A"/>
    <w:rsid w:val="005D0C70"/>
    <w:rsid w:val="005D3339"/>
    <w:rsid w:val="005D3AA7"/>
    <w:rsid w:val="005E6239"/>
    <w:rsid w:val="005E711B"/>
    <w:rsid w:val="005F2C06"/>
    <w:rsid w:val="006018B3"/>
    <w:rsid w:val="0062189C"/>
    <w:rsid w:val="00622466"/>
    <w:rsid w:val="006351A7"/>
    <w:rsid w:val="006433C5"/>
    <w:rsid w:val="0066097B"/>
    <w:rsid w:val="00661418"/>
    <w:rsid w:val="0066142F"/>
    <w:rsid w:val="00667EC1"/>
    <w:rsid w:val="00680372"/>
    <w:rsid w:val="006844EC"/>
    <w:rsid w:val="006940B0"/>
    <w:rsid w:val="006A114A"/>
    <w:rsid w:val="006A71C6"/>
    <w:rsid w:val="006A74F0"/>
    <w:rsid w:val="006B56A5"/>
    <w:rsid w:val="006C2947"/>
    <w:rsid w:val="006D0F2D"/>
    <w:rsid w:val="006D2588"/>
    <w:rsid w:val="006D324F"/>
    <w:rsid w:val="006D4302"/>
    <w:rsid w:val="006D7FCD"/>
    <w:rsid w:val="006E06B9"/>
    <w:rsid w:val="006E50A0"/>
    <w:rsid w:val="006E5218"/>
    <w:rsid w:val="006E5595"/>
    <w:rsid w:val="006F143C"/>
    <w:rsid w:val="007035B7"/>
    <w:rsid w:val="007039EF"/>
    <w:rsid w:val="00704379"/>
    <w:rsid w:val="0072018B"/>
    <w:rsid w:val="007262E7"/>
    <w:rsid w:val="007268A5"/>
    <w:rsid w:val="00727815"/>
    <w:rsid w:val="00730C56"/>
    <w:rsid w:val="0073447E"/>
    <w:rsid w:val="00735FF6"/>
    <w:rsid w:val="00742842"/>
    <w:rsid w:val="00743EE3"/>
    <w:rsid w:val="00750D1B"/>
    <w:rsid w:val="007729F2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3F7B"/>
    <w:rsid w:val="007D2A9A"/>
    <w:rsid w:val="007D385F"/>
    <w:rsid w:val="007D7B78"/>
    <w:rsid w:val="007E5B2E"/>
    <w:rsid w:val="007F0278"/>
    <w:rsid w:val="007F07D8"/>
    <w:rsid w:val="007F3C5D"/>
    <w:rsid w:val="007F3E3D"/>
    <w:rsid w:val="008005CA"/>
    <w:rsid w:val="00800F04"/>
    <w:rsid w:val="00806479"/>
    <w:rsid w:val="0081318F"/>
    <w:rsid w:val="008134D7"/>
    <w:rsid w:val="00815C3D"/>
    <w:rsid w:val="00827270"/>
    <w:rsid w:val="00832473"/>
    <w:rsid w:val="00846368"/>
    <w:rsid w:val="0085382C"/>
    <w:rsid w:val="008709C7"/>
    <w:rsid w:val="0087132B"/>
    <w:rsid w:val="00875299"/>
    <w:rsid w:val="00881F86"/>
    <w:rsid w:val="008902F3"/>
    <w:rsid w:val="008A4BF5"/>
    <w:rsid w:val="008C62D3"/>
    <w:rsid w:val="008C7F09"/>
    <w:rsid w:val="008D044C"/>
    <w:rsid w:val="008F495F"/>
    <w:rsid w:val="00900D9F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57274"/>
    <w:rsid w:val="00960EE0"/>
    <w:rsid w:val="009831A6"/>
    <w:rsid w:val="009865C6"/>
    <w:rsid w:val="009A6F94"/>
    <w:rsid w:val="009C2E84"/>
    <w:rsid w:val="009C38A1"/>
    <w:rsid w:val="009C5757"/>
    <w:rsid w:val="009D16E4"/>
    <w:rsid w:val="009F0679"/>
    <w:rsid w:val="009F4A7F"/>
    <w:rsid w:val="00A04B84"/>
    <w:rsid w:val="00A15478"/>
    <w:rsid w:val="00A36E09"/>
    <w:rsid w:val="00A464A7"/>
    <w:rsid w:val="00A47826"/>
    <w:rsid w:val="00A7461C"/>
    <w:rsid w:val="00A81E13"/>
    <w:rsid w:val="00A92484"/>
    <w:rsid w:val="00A96B6C"/>
    <w:rsid w:val="00AC7275"/>
    <w:rsid w:val="00AD4CB1"/>
    <w:rsid w:val="00AE0BD4"/>
    <w:rsid w:val="00AF2CCD"/>
    <w:rsid w:val="00AF3D2A"/>
    <w:rsid w:val="00AF5B1E"/>
    <w:rsid w:val="00B0266C"/>
    <w:rsid w:val="00B061B5"/>
    <w:rsid w:val="00B07A35"/>
    <w:rsid w:val="00B21A0E"/>
    <w:rsid w:val="00B21CC1"/>
    <w:rsid w:val="00B232DE"/>
    <w:rsid w:val="00B307C9"/>
    <w:rsid w:val="00B4398C"/>
    <w:rsid w:val="00B445EA"/>
    <w:rsid w:val="00B46884"/>
    <w:rsid w:val="00B55069"/>
    <w:rsid w:val="00B6488C"/>
    <w:rsid w:val="00B64A9B"/>
    <w:rsid w:val="00B70089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E3855"/>
    <w:rsid w:val="00C01F7A"/>
    <w:rsid w:val="00C055F1"/>
    <w:rsid w:val="00C163EF"/>
    <w:rsid w:val="00C20726"/>
    <w:rsid w:val="00C27825"/>
    <w:rsid w:val="00C2791F"/>
    <w:rsid w:val="00C31F71"/>
    <w:rsid w:val="00C457C2"/>
    <w:rsid w:val="00C46FB4"/>
    <w:rsid w:val="00C5457E"/>
    <w:rsid w:val="00C56FAC"/>
    <w:rsid w:val="00C57286"/>
    <w:rsid w:val="00C650F5"/>
    <w:rsid w:val="00C80F29"/>
    <w:rsid w:val="00C85BF8"/>
    <w:rsid w:val="00C95BAF"/>
    <w:rsid w:val="00CA2922"/>
    <w:rsid w:val="00CA2BB1"/>
    <w:rsid w:val="00CB42C6"/>
    <w:rsid w:val="00CC3C60"/>
    <w:rsid w:val="00CC6F0E"/>
    <w:rsid w:val="00CD5675"/>
    <w:rsid w:val="00CE01B4"/>
    <w:rsid w:val="00CE4398"/>
    <w:rsid w:val="00CE506E"/>
    <w:rsid w:val="00CE7949"/>
    <w:rsid w:val="00CF74E3"/>
    <w:rsid w:val="00D05B4C"/>
    <w:rsid w:val="00D1592C"/>
    <w:rsid w:val="00D241DC"/>
    <w:rsid w:val="00D24829"/>
    <w:rsid w:val="00D31E6E"/>
    <w:rsid w:val="00D33951"/>
    <w:rsid w:val="00D40E91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526B"/>
    <w:rsid w:val="00DD1662"/>
    <w:rsid w:val="00DD43BC"/>
    <w:rsid w:val="00DF79DA"/>
    <w:rsid w:val="00E11D9B"/>
    <w:rsid w:val="00E3333A"/>
    <w:rsid w:val="00E33B79"/>
    <w:rsid w:val="00E3493F"/>
    <w:rsid w:val="00E35F76"/>
    <w:rsid w:val="00E43962"/>
    <w:rsid w:val="00E44F2B"/>
    <w:rsid w:val="00E5142F"/>
    <w:rsid w:val="00E52231"/>
    <w:rsid w:val="00E6347F"/>
    <w:rsid w:val="00E6713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A3066"/>
    <w:rsid w:val="00EB1CA8"/>
    <w:rsid w:val="00EB2ACF"/>
    <w:rsid w:val="00EC16AA"/>
    <w:rsid w:val="00ED2902"/>
    <w:rsid w:val="00ED52CE"/>
    <w:rsid w:val="00EE0806"/>
    <w:rsid w:val="00EE436D"/>
    <w:rsid w:val="00F069C1"/>
    <w:rsid w:val="00F16BEC"/>
    <w:rsid w:val="00F214C8"/>
    <w:rsid w:val="00F22B05"/>
    <w:rsid w:val="00F257A0"/>
    <w:rsid w:val="00F3508F"/>
    <w:rsid w:val="00F402B4"/>
    <w:rsid w:val="00F4689F"/>
    <w:rsid w:val="00F6066F"/>
    <w:rsid w:val="00F70AEA"/>
    <w:rsid w:val="00F71C68"/>
    <w:rsid w:val="00F734FD"/>
    <w:rsid w:val="00F742D9"/>
    <w:rsid w:val="00F75371"/>
    <w:rsid w:val="00F76A5A"/>
    <w:rsid w:val="00F8619B"/>
    <w:rsid w:val="00F9785E"/>
    <w:rsid w:val="00F97B4D"/>
    <w:rsid w:val="00F97C93"/>
    <w:rsid w:val="00FA5ECB"/>
    <w:rsid w:val="00FB70BD"/>
    <w:rsid w:val="00FE12B7"/>
    <w:rsid w:val="00FF1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449E8AD"/>
  <w15:docId w15:val="{16A348B4-6A60-4F59-9272-AFDDB74A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character" w:customStyle="1" w:styleId="hgkelc">
    <w:name w:val="hgkelc"/>
    <w:basedOn w:val="Policepardfaut"/>
    <w:rsid w:val="00C2791F"/>
  </w:style>
  <w:style w:type="paragraph" w:customStyle="1" w:styleId="docdata">
    <w:name w:val="docdata"/>
    <w:aliases w:val="docy,v5,8436,bqiaagaaeyqcaaagiaiaaaojhgaabbeeaaaaaaaaaaaaaaaaaaaaaaaaaaaaaaaaaaaaaaaaaaaaaaaaaaaaaaaaaaaaaaaaaaaaaaaaaaaaaaaaaaaaaaaaaaaaaaaaaaaaaaaaaaaaaaaaaaaaaaaaaaaaaaaaaaaaaaaaaaaaaaaaaaaaaaaaaaaaaaaaaaaaaaaaaaaaaaaaaaaaaaaaaaaaaaaaaaaaaaaa"/>
    <w:basedOn w:val="Normal"/>
    <w:rsid w:val="007F07D8"/>
    <w:pPr>
      <w:suppressAutoHyphens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matrice2013_final.dotx</Template>
  <TotalTime>81</TotalTime>
  <Pages>3</Pages>
  <Words>608</Words>
  <Characters>3345</Characters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3946</CharactersWithSpaces>
  <SharedDoc>false</SharedDoc>
  <HyperlinkBase/>
  <HLinks>
    <vt:vector size="6" baseType="variant">
      <vt:variant>
        <vt:i4>4718596</vt:i4>
      </vt:variant>
      <vt:variant>
        <vt:i4>3</vt:i4>
      </vt:variant>
      <vt:variant>
        <vt:i4>0</vt:i4>
      </vt:variant>
      <vt:variant>
        <vt:i4>5</vt:i4>
      </vt:variant>
      <vt:variant>
        <vt:lpwstr>https://www.ncdc.noaa.gov/data-access/paleoclimatology-data/datasets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2018-03-01T09:34:00Z</cp:lastPrinted>
  <dcterms:created xsi:type="dcterms:W3CDTF">2022-10-26T14:59:00Z</dcterms:created>
  <dcterms:modified xsi:type="dcterms:W3CDTF">2024-03-04T21:12:00Z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