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3ED81EEC" w:rsidR="000B5941" w:rsidRDefault="000B5941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346D18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346D18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1408B" w14:textId="77777777" w:rsidR="00EC5502" w:rsidRDefault="00EC5502" w:rsidP="006F357F">
            <w:pPr>
              <w:spacing w:before="120" w:after="1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L’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acatalasémie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est une maladie génétique caractérisée par l’absence ou la faible activité d’une enzyme, la catalase. Cette maladie conduit, par accumulation de peroxyde d'hydrogène, à la destruction ou au dysfonctionnement, entre autres, des cellules béta du pancréas pouvant conduire au développement d’un diabète. Cette maladie étant héréditaire et des cas d’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acatalasémie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ayant été répertoriés dans la famille d'un patient, un médecin cherche à estimer son risque de déclarer un diabète.</w:t>
            </w:r>
          </w:p>
          <w:p w14:paraId="63829B52" w14:textId="0D73C02F" w:rsidR="00E81639" w:rsidRPr="00E81639" w:rsidRDefault="00EC5502" w:rsidP="006F357F">
            <w:pPr>
              <w:spacing w:before="120" w:after="120"/>
              <w:jc w:val="lef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On cherche à déterminer, par des mesures ExAO, si la catalase de la personne est fonctionnelle.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4506CF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4506CF">
        <w:tc>
          <w:tcPr>
            <w:tcW w:w="5000" w:type="pct"/>
            <w:shd w:val="clear" w:color="auto" w:fill="F2F2F2" w:themeFill="background1" w:themeFillShade="F2"/>
          </w:tcPr>
          <w:p w14:paraId="747B2D9A" w14:textId="6051D9CD" w:rsidR="0045192F" w:rsidRDefault="009C5757" w:rsidP="00EC5502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EC550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4506CF">
        <w:tc>
          <w:tcPr>
            <w:tcW w:w="5000" w:type="pct"/>
          </w:tcPr>
          <w:p w14:paraId="2138D99C" w14:textId="75FF1892" w:rsidR="00B8255E" w:rsidRDefault="00B8255E" w:rsidP="006F357F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C5502">
              <w:rPr>
                <w:rFonts w:ascii="Arial" w:hAnsi="Arial" w:cs="Arial"/>
                <w:sz w:val="24"/>
                <w:szCs w:val="24"/>
              </w:rPr>
              <w:t>de</w:t>
            </w:r>
            <w:r w:rsidR="00EC5502" w:rsidRPr="00EC5502">
              <w:rPr>
                <w:rFonts w:ascii="Arial" w:hAnsi="Arial" w:cs="Arial"/>
                <w:sz w:val="24"/>
                <w:szCs w:val="24"/>
              </w:rPr>
              <w:t xml:space="preserve"> déterminer si la catalase de la personne est fonctionnelle</w:t>
            </w:r>
            <w:r w:rsidR="00EC550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764E8" w14:textId="77777777" w:rsidR="00EC5502" w:rsidRDefault="00EC5502" w:rsidP="00EC5502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Pr="00127EBA" w:rsidRDefault="00B8255E" w:rsidP="00B8255E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127EBA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127EBA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27EBA" w:rsidRDefault="00B8255E" w:rsidP="00B8255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BDD058" w14:textId="334B08D4" w:rsidR="000F3B1D" w:rsidRPr="00F3508F" w:rsidRDefault="00E52231" w:rsidP="006F357F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4506CF">
        <w:tc>
          <w:tcPr>
            <w:tcW w:w="5000" w:type="pct"/>
            <w:shd w:val="clear" w:color="auto" w:fill="F2F2F2" w:themeFill="background1" w:themeFillShade="F2"/>
          </w:tcPr>
          <w:p w14:paraId="28C9E657" w14:textId="0DCD1305" w:rsidR="0045192F" w:rsidRPr="0099114E" w:rsidRDefault="009C5757" w:rsidP="00EC5502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EC550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4506CF">
        <w:tc>
          <w:tcPr>
            <w:tcW w:w="5000" w:type="pct"/>
          </w:tcPr>
          <w:p w14:paraId="05BDC011" w14:textId="77777777" w:rsidR="00CA2922" w:rsidRPr="00802831" w:rsidRDefault="00CA2922" w:rsidP="006F357F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609E7971" w:rsidR="00CA2922" w:rsidRPr="0099114E" w:rsidRDefault="00CA2922" w:rsidP="003F3DD6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127EBA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53A75E10" w:rsidR="000F3B1D" w:rsidRPr="00802831" w:rsidRDefault="00CA2922" w:rsidP="006F357F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Pr="00802831">
              <w:rPr>
                <w:rFonts w:ascii="Arial" w:eastAsia="Arial" w:hAnsi="Arial" w:cs="Arial"/>
                <w:bCs/>
                <w:sz w:val="24"/>
                <w:szCs w:val="24"/>
              </w:rPr>
              <w:t xml:space="preserve">si </w:t>
            </w:r>
            <w:r w:rsidR="00EC5502">
              <w:rPr>
                <w:rFonts w:ascii="Arial" w:eastAsia="Arial" w:hAnsi="Arial" w:cs="Arial"/>
                <w:bCs/>
                <w:sz w:val="24"/>
                <w:szCs w:val="24"/>
              </w:rPr>
              <w:t>la</w:t>
            </w:r>
            <w:r w:rsidR="00EC5502" w:rsidRPr="00EC5502">
              <w:rPr>
                <w:rFonts w:ascii="Arial" w:hAnsi="Arial" w:cs="Arial"/>
                <w:sz w:val="24"/>
                <w:szCs w:val="24"/>
              </w:rPr>
              <w:t xml:space="preserve"> catalase de la personne est fonctionnelle</w:t>
            </w:r>
            <w:r w:rsidR="005F43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4812"/>
        <w:gridCol w:w="10573"/>
      </w:tblGrid>
      <w:tr w:rsidR="0099114E" w:rsidRPr="0099114E" w14:paraId="7ED1906A" w14:textId="77777777" w:rsidTr="005F430B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99114E" w:rsidRPr="0099114E" w14:paraId="50FF2CF2" w14:textId="77777777" w:rsidTr="005F430B">
        <w:trPr>
          <w:trHeight w:val="3088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99114E" w:rsidRDefault="0054079E" w:rsidP="0099114E">
            <w:pPr>
              <w:pStyle w:val="Corpsdetexte"/>
              <w:spacing w:before="120"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5CF0AE5A" w14:textId="04E9CF61" w:rsidR="005F430B" w:rsidRDefault="005F430B" w:rsidP="00D90835">
            <w:pPr>
              <w:pStyle w:val="Corpsdetexte"/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spacing w:before="12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différentes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solutions d’enzymes ; </w:t>
            </w:r>
          </w:p>
          <w:p w14:paraId="185DA351" w14:textId="4BE6BE05" w:rsidR="005F430B" w:rsidRDefault="005F430B" w:rsidP="005F430B">
            <w:pPr>
              <w:pStyle w:val="Corpsdetexte"/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peroxyde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d’hydrogène : 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2 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4F0E20" w14:textId="58764026" w:rsidR="005F430B" w:rsidRDefault="005F430B" w:rsidP="005F430B">
            <w:pPr>
              <w:pStyle w:val="Corpsdetexte"/>
              <w:numPr>
                <w:ilvl w:val="0"/>
                <w:numId w:val="41"/>
              </w:numPr>
              <w:tabs>
                <w:tab w:val="clear" w:pos="360"/>
                <w:tab w:val="num" w:pos="0"/>
              </w:tabs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pipette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et seringue ;</w:t>
            </w:r>
          </w:p>
          <w:p w14:paraId="2F8D5716" w14:textId="5F16F4D9" w:rsidR="005F430B" w:rsidRPr="005F430B" w:rsidRDefault="005F430B" w:rsidP="005F430B">
            <w:pPr>
              <w:pStyle w:val="Corpsdetexte"/>
              <w:numPr>
                <w:ilvl w:val="0"/>
                <w:numId w:val="42"/>
              </w:numPr>
              <w:jc w:val="lef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une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chaîne de mesure ExAO avec sonde oxymétrique étalonnée </w:t>
            </w:r>
            <w:r w:rsidR="006F357F">
              <w:rPr>
                <w:rFonts w:ascii="Arial" w:hAnsi="Arial" w:cs="Arial"/>
                <w:sz w:val="24"/>
                <w:szCs w:val="24"/>
              </w:rPr>
              <w:t>et sa fiche technique.</w:t>
            </w:r>
          </w:p>
          <w:p w14:paraId="457DF1A9" w14:textId="5C52A329" w:rsidR="0066142F" w:rsidRPr="005F430B" w:rsidRDefault="0066142F" w:rsidP="005F430B">
            <w:pPr>
              <w:pStyle w:val="Corpsdetexte"/>
              <w:jc w:val="left"/>
              <w:rPr>
                <w:rFonts w:ascii="Arial" w:hAnsi="Arial" w:cs="Arial"/>
              </w:rPr>
            </w:pP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899D" w14:textId="77777777" w:rsidR="005F430B" w:rsidRDefault="005F430B" w:rsidP="005F430B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Afin d</w:t>
            </w:r>
            <w:r>
              <w:rPr>
                <w:rFonts w:ascii="Arial" w:hAnsi="Arial" w:cs="Arial"/>
                <w:b/>
                <w:sz w:val="24"/>
                <w:szCs w:val="24"/>
              </w:rPr>
              <w:t>e déterminer si la catalase de la personne est fonctionnelle :</w:t>
            </w:r>
          </w:p>
          <w:p w14:paraId="5CA2F20D" w14:textId="77777777" w:rsidR="005F430B" w:rsidRPr="005F430B" w:rsidRDefault="005F430B" w:rsidP="005F430B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2CB31D" w14:textId="0A50F2E2" w:rsidR="005F430B" w:rsidRPr="005F430B" w:rsidRDefault="00D90835" w:rsidP="005F430B">
            <w:pPr>
              <w:numPr>
                <w:ilvl w:val="0"/>
                <w:numId w:val="43"/>
              </w:numPr>
              <w:tabs>
                <w:tab w:val="clear" w:pos="0"/>
                <w:tab w:val="num" w:pos="1068"/>
              </w:tabs>
              <w:spacing w:before="120" w:after="240"/>
              <w:ind w:left="106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5F430B" w:rsidRPr="005F430B">
              <w:rPr>
                <w:rFonts w:ascii="Arial" w:hAnsi="Arial" w:cs="Arial"/>
                <w:b/>
                <w:sz w:val="24"/>
                <w:szCs w:val="24"/>
              </w:rPr>
              <w:t>éaliser</w:t>
            </w:r>
            <w:proofErr w:type="gramEnd"/>
            <w:r w:rsidR="005F430B" w:rsidRPr="005F430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F430B" w:rsidRPr="005F430B">
              <w:rPr>
                <w:rFonts w:ascii="Arial" w:hAnsi="Arial" w:cs="Arial"/>
                <w:sz w:val="24"/>
                <w:szCs w:val="24"/>
              </w:rPr>
              <w:t>des</w:t>
            </w:r>
            <w:r w:rsidR="005F430B" w:rsidRPr="005F430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F430B" w:rsidRPr="005F430B">
              <w:rPr>
                <w:rFonts w:ascii="Arial" w:hAnsi="Arial" w:cs="Arial"/>
                <w:sz w:val="24"/>
                <w:szCs w:val="24"/>
              </w:rPr>
              <w:t>mesures ExAO.</w:t>
            </w:r>
          </w:p>
          <w:p w14:paraId="19DDF5CA" w14:textId="60B8433E" w:rsidR="005F430B" w:rsidRPr="005F430B" w:rsidRDefault="005F430B" w:rsidP="00D90835">
            <w:pPr>
              <w:spacing w:before="120" w:after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430B">
              <w:rPr>
                <w:rFonts w:ascii="Arial" w:hAnsi="Arial" w:cs="Arial"/>
                <w:sz w:val="24"/>
                <w:szCs w:val="24"/>
              </w:rPr>
              <w:t xml:space="preserve">Ne pas toucher directement </w:t>
            </w:r>
            <w:r w:rsidR="00127EBA">
              <w:rPr>
                <w:rFonts w:ascii="Arial" w:hAnsi="Arial" w:cs="Arial"/>
                <w:sz w:val="24"/>
                <w:szCs w:val="24"/>
              </w:rPr>
              <w:t>l’eau oxygénée avec les doigts.</w:t>
            </w:r>
          </w:p>
          <w:p w14:paraId="683F070E" w14:textId="1BEF9939" w:rsidR="005F430B" w:rsidRPr="005F430B" w:rsidRDefault="005F430B" w:rsidP="00D90835">
            <w:pPr>
              <w:spacing w:before="120" w:after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F430B">
              <w:rPr>
                <w:rFonts w:ascii="Arial" w:hAnsi="Arial" w:cs="Arial"/>
                <w:sz w:val="24"/>
                <w:szCs w:val="24"/>
              </w:rPr>
              <w:t>Prendre soin de paramétrer le logiciel pour conserver les deux courbes et bien rincer entre les deux mesures</w:t>
            </w:r>
            <w:r w:rsidR="006F357F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824"/>
              <w:gridCol w:w="2854"/>
              <w:gridCol w:w="2642"/>
            </w:tblGrid>
            <w:tr w:rsidR="005F430B" w14:paraId="5D0A3B1E" w14:textId="77777777" w:rsidTr="005F430B">
              <w:trPr>
                <w:trHeight w:val="749"/>
                <w:jc w:val="center"/>
              </w:trPr>
              <w:tc>
                <w:tcPr>
                  <w:tcW w:w="2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0A6E316" w14:textId="77777777" w:rsidR="005F430B" w:rsidRDefault="005F430B" w:rsidP="005F430B">
                  <w:pPr>
                    <w:spacing w:before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Volume de substrat recommandé </w:t>
                  </w:r>
                </w:p>
                <w:p w14:paraId="3D629749" w14:textId="77777777" w:rsidR="005F430B" w:rsidRDefault="005F430B" w:rsidP="005F430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mL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0A52B2A0" w14:textId="77777777" w:rsidR="005F430B" w:rsidRDefault="005F430B" w:rsidP="005F430B">
                  <w:pPr>
                    <w:spacing w:before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Volume d’enzyme recommandé </w:t>
                  </w:r>
                </w:p>
                <w:p w14:paraId="219B5535" w14:textId="77777777" w:rsidR="005F430B" w:rsidRDefault="005F430B" w:rsidP="005F430B">
                  <w:pPr>
                    <w:spacing w:after="1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mL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2084C1" w14:textId="77777777" w:rsidR="005F430B" w:rsidRDefault="005F430B" w:rsidP="005F430B">
                  <w:pPr>
                    <w:spacing w:before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Durée de la mesure </w:t>
                  </w:r>
                </w:p>
                <w:p w14:paraId="7D91CA49" w14:textId="77777777" w:rsidR="005F430B" w:rsidRDefault="005F430B" w:rsidP="005F430B">
                  <w:pPr>
                    <w:spacing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(minutes)</w:t>
                  </w:r>
                </w:p>
              </w:tc>
            </w:tr>
            <w:tr w:rsidR="005F430B" w14:paraId="20C7053E" w14:textId="77777777" w:rsidTr="005F430B">
              <w:trPr>
                <w:trHeight w:val="757"/>
                <w:jc w:val="center"/>
              </w:trPr>
              <w:tc>
                <w:tcPr>
                  <w:tcW w:w="2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6C8ADD9D" w14:textId="77777777" w:rsidR="005F430B" w:rsidRDefault="005F430B" w:rsidP="005F430B"/>
              </w:tc>
              <w:tc>
                <w:tcPr>
                  <w:tcW w:w="2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2664C992" w14:textId="77777777" w:rsidR="005F430B" w:rsidRDefault="005F430B" w:rsidP="005F430B"/>
              </w:tc>
              <w:tc>
                <w:tcPr>
                  <w:tcW w:w="26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395B17F" w14:textId="77777777" w:rsidR="005F430B" w:rsidRDefault="005F430B" w:rsidP="005F430B">
                  <w:r>
                    <w:t>4</w:t>
                  </w:r>
                </w:p>
              </w:tc>
            </w:tr>
          </w:tbl>
          <w:p w14:paraId="10AD2D3A" w14:textId="5EACBB26" w:rsidR="005F430B" w:rsidRDefault="005F430B" w:rsidP="005F430B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2684D57F" w14:textId="7A00EDBC" w:rsidR="005F430B" w:rsidRPr="0099114E" w:rsidRDefault="005F430B" w:rsidP="005F430B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9114E" w:rsidRPr="0099114E" w14:paraId="4FD85E36" w14:textId="77777777" w:rsidTr="005F430B">
        <w:trPr>
          <w:trHeight w:val="1106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6BEDE" w14:textId="399E04F6" w:rsidR="00E65527" w:rsidRPr="0099114E" w:rsidRDefault="00E65527" w:rsidP="005F430B">
            <w:pPr>
              <w:pStyle w:val="Corpsdetexte"/>
              <w:spacing w:before="120" w:after="0"/>
              <w:jc w:val="both"/>
              <w:rPr>
                <w:rFonts w:ascii="Arial" w:hAnsi="Arial" w:cs="Arial"/>
                <w:bCs/>
                <w:sz w:val="24"/>
                <w:szCs w:val="20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Sécurité</w:t>
            </w:r>
            <w:r w:rsidR="006F357F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49C4C5D" w14:textId="6D22E38C" w:rsidR="00E65527" w:rsidRPr="006F357F" w:rsidRDefault="006F357F" w:rsidP="006F357F">
            <w:pPr>
              <w:pStyle w:val="Corpsdetexte"/>
              <w:spacing w:before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1C36D0BE" wp14:editId="7DF2C437">
                  <wp:extent cx="579901" cy="720000"/>
                  <wp:effectExtent l="0" t="0" r="0" b="4445"/>
                  <wp:docPr id="149431817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GH05_Corrosion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7323" w14:textId="1C7E3016" w:rsidR="00E65527" w:rsidRDefault="00E65527" w:rsidP="006F357F">
            <w:pPr>
              <w:pStyle w:val="western"/>
              <w:spacing w:before="120" w:after="12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 w:rsidRPr="0099114E">
              <w:rPr>
                <w:rFonts w:ascii="Arial" w:hAnsi="Arial" w:cs="Arial"/>
                <w:b/>
                <w:bCs/>
              </w:rPr>
              <w:t>Précautions de la manipulation</w:t>
            </w:r>
            <w:r w:rsidR="006F357F">
              <w:rPr>
                <w:rFonts w:ascii="Arial" w:hAnsi="Arial" w:cs="Arial"/>
                <w:b/>
                <w:bCs/>
              </w:rPr>
              <w:t> :</w:t>
            </w:r>
          </w:p>
          <w:p w14:paraId="6AA4D04F" w14:textId="7E03C18B" w:rsidR="008E5EE7" w:rsidRPr="006F357F" w:rsidRDefault="006F357F" w:rsidP="006F357F">
            <w:pPr>
              <w:pStyle w:val="western"/>
              <w:spacing w:before="120" w:after="12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08623047" wp14:editId="39E2BE6E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17FB1006" wp14:editId="1C6F89BC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156844ED" wp14:editId="5C28FBC2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D745F9" w14:textId="77777777" w:rsidR="005F430B" w:rsidRDefault="005F430B" w:rsidP="00ED52CE">
      <w:pPr>
        <w:jc w:val="right"/>
        <w:rPr>
          <w:rFonts w:ascii="Arial" w:hAnsi="Arial" w:cs="Arial"/>
          <w:b/>
          <w:sz w:val="28"/>
        </w:rPr>
      </w:pPr>
    </w:p>
    <w:p w14:paraId="1C26E7EE" w14:textId="32D9E29C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85"/>
        <w:gridCol w:w="7503"/>
      </w:tblGrid>
      <w:tr w:rsidR="00EC5502" w14:paraId="2164AD25" w14:textId="77777777" w:rsidTr="00127EBA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079179" w14:textId="77777777" w:rsidR="00EC5502" w:rsidRDefault="00EC5502">
            <w:pPr>
              <w:snapToGri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EC5502" w14:paraId="310C893D" w14:textId="77777777" w:rsidTr="00127EBA">
        <w:tc>
          <w:tcPr>
            <w:tcW w:w="2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32448" w14:textId="77777777" w:rsidR="00EC5502" w:rsidRPr="00D90835" w:rsidRDefault="00EC5502">
            <w:pPr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835">
              <w:rPr>
                <w:rFonts w:ascii="Arial" w:hAnsi="Arial" w:cs="Arial"/>
                <w:b/>
                <w:sz w:val="24"/>
                <w:szCs w:val="24"/>
              </w:rPr>
              <w:t>La catalase :</w:t>
            </w:r>
          </w:p>
          <w:p w14:paraId="46A3AEB4" w14:textId="77777777" w:rsidR="00EC5502" w:rsidRDefault="00EC550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La catalase est une protéine enzymatique qui accélère la transformation du peroxyde d’hydrogène 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, toxique pour les cellules, en dioxygène (O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 et eau (H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O) selon l’équation suivante :</w:t>
            </w:r>
          </w:p>
          <w:p w14:paraId="10721359" w14:textId="45765A5E" w:rsidR="00EC5502" w:rsidRDefault="00EC5502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 wp14:anchorId="58F66602" wp14:editId="33AE6C1D">
                      <wp:simplePos x="0" y="0"/>
                      <wp:positionH relativeFrom="margin">
                        <wp:posOffset>1830070</wp:posOffset>
                      </wp:positionH>
                      <wp:positionV relativeFrom="paragraph">
                        <wp:posOffset>107315</wp:posOffset>
                      </wp:positionV>
                      <wp:extent cx="1028065" cy="285115"/>
                      <wp:effectExtent l="0" t="0" r="0" b="0"/>
                      <wp:wrapNone/>
                      <wp:docPr id="6" name="Zone de text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065" cy="285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B8EBB1" w14:textId="77777777" w:rsidR="00EC5502" w:rsidRDefault="00EC5502" w:rsidP="00EC5502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Catalase</w:t>
                                  </w:r>
                                </w:p>
                              </w:txbxContent>
                            </wps:txbx>
                            <wps:bodyPr rot="0" vert="horz" wrap="square" lIns="92075" tIns="46355" rIns="92075" bIns="4635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8F666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6" o:spid="_x0000_s1026" type="#_x0000_t202" style="position:absolute;left:0;text-align:left;margin-left:144.1pt;margin-top:8.45pt;width:80.95pt;height:22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" stroked="f">
                      <v:fill opacity="0"/>
                      <v:textbox inset="7.25pt,3.65pt,7.25pt,3.65pt">
                        <w:txbxContent>
                          <w:p w14:paraId="3FB8EBB1" w14:textId="77777777" w:rsidR="00EC5502" w:rsidRDefault="00EC5502" w:rsidP="00EC550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Catalase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</w:t>
            </w:r>
          </w:p>
          <w:p w14:paraId="035CFCA7" w14:textId="77777777" w:rsidR="00EC5502" w:rsidRDefault="00EC5502">
            <w:pPr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1553271" w14:textId="3AB48267" w:rsidR="00EC5502" w:rsidRDefault="00EC5502">
            <w:pPr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B43742" wp14:editId="6CBA1B41">
                      <wp:simplePos x="0" y="0"/>
                      <wp:positionH relativeFrom="margin">
                        <wp:posOffset>1419225</wp:posOffset>
                      </wp:positionH>
                      <wp:positionV relativeFrom="paragraph">
                        <wp:posOffset>86360</wp:posOffset>
                      </wp:positionV>
                      <wp:extent cx="1714500" cy="0"/>
                      <wp:effectExtent l="0" t="76200" r="19050" b="95250"/>
                      <wp:wrapNone/>
                      <wp:docPr id="1" name="Connecteur droi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0F687DC6" id="Connecteur droit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11.75pt,6.8pt" to="246.7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" strokeweight=".26mm">
                      <v:stroke endarrow="block" joinstyle="miter" endcap="square"/>
                      <w10:wrap anchorx="margin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2 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2 H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 + 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  <w:p w14:paraId="5C7CCD20" w14:textId="77777777" w:rsidR="00EC5502" w:rsidRDefault="00EC550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AD627AE" w14:textId="77777777" w:rsidR="00EC5502" w:rsidRDefault="00EC5502">
            <w:pPr>
              <w:pStyle w:val="Grillemoyenne1-Accent21"/>
              <w:spacing w:line="240" w:lineRule="auto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D1CFF" w14:textId="77777777" w:rsidR="00EC5502" w:rsidRPr="00D90835" w:rsidRDefault="00EC5502">
            <w:pPr>
              <w:pStyle w:val="Corpsdetexte"/>
              <w:spacing w:before="120"/>
              <w:ind w:left="3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90835">
              <w:rPr>
                <w:rFonts w:ascii="Arial" w:hAnsi="Arial" w:cs="Arial"/>
                <w:b/>
                <w:sz w:val="24"/>
                <w:szCs w:val="24"/>
              </w:rPr>
              <w:t>Les enzymes :</w:t>
            </w:r>
          </w:p>
          <w:p w14:paraId="260E33DC" w14:textId="77777777" w:rsidR="00EC5502" w:rsidRDefault="00EC5502">
            <w:pPr>
              <w:pStyle w:val="Corpsdetexte"/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 toutes les enzymes, la catalase est une protéine dont l’activité dépend de sa séquence en acides aminés qui dépend elle-même du génotype de l’individu.</w:t>
            </w:r>
          </w:p>
          <w:p w14:paraId="09E854DE" w14:textId="77777777" w:rsidR="00EC5502" w:rsidRDefault="00EC5502">
            <w:pPr>
              <w:pStyle w:val="Paragraphedeliste"/>
              <w:spacing w:after="12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 réactions chimiques catalysées (accélérées) par les enzymes se produisent naturellement spontanément cependant leur cinétique (vitesse) est souvent très lente sans enzyme. </w:t>
            </w:r>
          </w:p>
        </w:tc>
      </w:tr>
    </w:tbl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6F6856">
      <w:headerReference w:type="default" r:id="rId11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209F1" w14:textId="77777777" w:rsidR="001D31A2" w:rsidRDefault="001D31A2">
      <w:r>
        <w:separator/>
      </w:r>
    </w:p>
  </w:endnote>
  <w:endnote w:type="continuationSeparator" w:id="0">
    <w:p w14:paraId="084938B2" w14:textId="77777777" w:rsidR="001D31A2" w:rsidRDefault="001D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6ED49" w14:textId="77777777" w:rsidR="001D31A2" w:rsidRDefault="001D31A2">
      <w:r>
        <w:separator/>
      </w:r>
    </w:p>
  </w:footnote>
  <w:footnote w:type="continuationSeparator" w:id="0">
    <w:p w14:paraId="29FE7DDD" w14:textId="77777777" w:rsidR="001D31A2" w:rsidRDefault="001D3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0562C" w14:textId="1788A6D7" w:rsidR="00EC5502" w:rsidRDefault="003D2635" w:rsidP="003D2635">
    <w:pPr>
      <w:pStyle w:val="En-tte"/>
      <w:shd w:val="clear" w:color="auto" w:fill="FFFFFF"/>
      <w:tabs>
        <w:tab w:val="left" w:pos="2025"/>
        <w:tab w:val="center" w:pos="7699"/>
      </w:tabs>
    </w:pPr>
    <w:r w:rsidRPr="003D2635">
      <w:rPr>
        <w:rFonts w:ascii="Arial" w:hAnsi="Arial" w:cs="Arial"/>
        <w:b/>
        <w:sz w:val="24"/>
        <w:szCs w:val="24"/>
        <w:shd w:val="clear" w:color="auto" w:fill="FFFFFF"/>
      </w:rPr>
      <w:t>Diabète et défici</w:t>
    </w:r>
    <w:r w:rsidR="00DC2072">
      <w:rPr>
        <w:rFonts w:ascii="Arial" w:hAnsi="Arial" w:cs="Arial"/>
        <w:b/>
        <w:sz w:val="24"/>
        <w:szCs w:val="24"/>
        <w:shd w:val="clear" w:color="auto" w:fill="FFFFFF"/>
      </w:rPr>
      <w:t>t</w:t>
    </w:r>
    <w:r w:rsidRPr="003D2635">
      <w:rPr>
        <w:rFonts w:ascii="Arial" w:hAnsi="Arial" w:cs="Arial"/>
        <w:b/>
        <w:sz w:val="24"/>
        <w:szCs w:val="24"/>
        <w:shd w:val="clear" w:color="auto" w:fill="FFFFFF"/>
      </w:rPr>
      <w:t xml:space="preserve"> en catalase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</w:rPr>
    </w:lvl>
  </w:abstractNum>
  <w:abstractNum w:abstractNumId="4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5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7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0"/>
  </w:num>
  <w:num w:numId="5">
    <w:abstractNumId w:val="4"/>
  </w:num>
  <w:num w:numId="6">
    <w:abstractNumId w:val="13"/>
  </w:num>
  <w:num w:numId="7">
    <w:abstractNumId w:val="31"/>
  </w:num>
  <w:num w:numId="8">
    <w:abstractNumId w:val="36"/>
  </w:num>
  <w:num w:numId="9">
    <w:abstractNumId w:val="39"/>
  </w:num>
  <w:num w:numId="10">
    <w:abstractNumId w:val="7"/>
  </w:num>
  <w:num w:numId="11">
    <w:abstractNumId w:val="22"/>
  </w:num>
  <w:num w:numId="12">
    <w:abstractNumId w:val="5"/>
  </w:num>
  <w:num w:numId="13">
    <w:abstractNumId w:val="32"/>
  </w:num>
  <w:num w:numId="14">
    <w:abstractNumId w:val="26"/>
  </w:num>
  <w:num w:numId="15">
    <w:abstractNumId w:val="20"/>
  </w:num>
  <w:num w:numId="16">
    <w:abstractNumId w:val="23"/>
  </w:num>
  <w:num w:numId="17">
    <w:abstractNumId w:val="25"/>
  </w:num>
  <w:num w:numId="18">
    <w:abstractNumId w:val="16"/>
  </w:num>
  <w:num w:numId="19">
    <w:abstractNumId w:val="27"/>
  </w:num>
  <w:num w:numId="20">
    <w:abstractNumId w:val="24"/>
  </w:num>
  <w:num w:numId="21">
    <w:abstractNumId w:val="10"/>
  </w:num>
  <w:num w:numId="22">
    <w:abstractNumId w:val="19"/>
  </w:num>
  <w:num w:numId="23">
    <w:abstractNumId w:val="34"/>
  </w:num>
  <w:num w:numId="24">
    <w:abstractNumId w:val="15"/>
  </w:num>
  <w:num w:numId="25">
    <w:abstractNumId w:val="37"/>
  </w:num>
  <w:num w:numId="26">
    <w:abstractNumId w:val="12"/>
  </w:num>
  <w:num w:numId="27">
    <w:abstractNumId w:val="11"/>
  </w:num>
  <w:num w:numId="28">
    <w:abstractNumId w:val="8"/>
  </w:num>
  <w:num w:numId="29">
    <w:abstractNumId w:val="18"/>
  </w:num>
  <w:num w:numId="30">
    <w:abstractNumId w:val="35"/>
  </w:num>
  <w:num w:numId="31">
    <w:abstractNumId w:val="38"/>
  </w:num>
  <w:num w:numId="32">
    <w:abstractNumId w:val="33"/>
  </w:num>
  <w:num w:numId="33">
    <w:abstractNumId w:val="17"/>
  </w:num>
  <w:num w:numId="34">
    <w:abstractNumId w:val="30"/>
  </w:num>
  <w:num w:numId="35">
    <w:abstractNumId w:val="28"/>
  </w:num>
  <w:num w:numId="36">
    <w:abstractNumId w:val="9"/>
  </w:num>
  <w:num w:numId="37">
    <w:abstractNumId w:val="6"/>
  </w:num>
  <w:num w:numId="38">
    <w:abstractNumId w:val="21"/>
  </w:num>
  <w:num w:numId="39">
    <w:abstractNumId w:val="29"/>
  </w:num>
  <w:num w:numId="40">
    <w:abstractNumId w:val="14"/>
  </w:num>
  <w:num w:numId="41">
    <w:abstractNumId w:val="2"/>
  </w:num>
  <w:num w:numId="42">
    <w:abstractNumId w:val="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27EBA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31A2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D588D"/>
    <w:rsid w:val="002D5D31"/>
    <w:rsid w:val="002E136A"/>
    <w:rsid w:val="002E3C0A"/>
    <w:rsid w:val="002E6A65"/>
    <w:rsid w:val="002F11A7"/>
    <w:rsid w:val="003269A5"/>
    <w:rsid w:val="003305F6"/>
    <w:rsid w:val="003316DA"/>
    <w:rsid w:val="003329AE"/>
    <w:rsid w:val="00346D18"/>
    <w:rsid w:val="00347CBB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B2686"/>
    <w:rsid w:val="003C4331"/>
    <w:rsid w:val="003D2635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6465"/>
    <w:rsid w:val="00447138"/>
    <w:rsid w:val="004506CF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87CA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5F430B"/>
    <w:rsid w:val="006018B3"/>
    <w:rsid w:val="00622466"/>
    <w:rsid w:val="006273B9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6F357F"/>
    <w:rsid w:val="006F47C6"/>
    <w:rsid w:val="006F6856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E5EE7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9114E"/>
    <w:rsid w:val="00995AC2"/>
    <w:rsid w:val="009A6F94"/>
    <w:rsid w:val="009C2E84"/>
    <w:rsid w:val="009C38A1"/>
    <w:rsid w:val="009C5757"/>
    <w:rsid w:val="009F0679"/>
    <w:rsid w:val="00A009EF"/>
    <w:rsid w:val="00A04B84"/>
    <w:rsid w:val="00A15478"/>
    <w:rsid w:val="00A36E09"/>
    <w:rsid w:val="00A40A52"/>
    <w:rsid w:val="00A464A7"/>
    <w:rsid w:val="00A47826"/>
    <w:rsid w:val="00A7461C"/>
    <w:rsid w:val="00A81E13"/>
    <w:rsid w:val="00A92484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0835"/>
    <w:rsid w:val="00D9120A"/>
    <w:rsid w:val="00D947C7"/>
    <w:rsid w:val="00DA068F"/>
    <w:rsid w:val="00DB0B5E"/>
    <w:rsid w:val="00DC19D5"/>
    <w:rsid w:val="00DC2072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47FCB"/>
    <w:rsid w:val="00E52231"/>
    <w:rsid w:val="00E6347F"/>
    <w:rsid w:val="00E65527"/>
    <w:rsid w:val="00E70E40"/>
    <w:rsid w:val="00E73615"/>
    <w:rsid w:val="00E81639"/>
    <w:rsid w:val="00E82037"/>
    <w:rsid w:val="00E83A2D"/>
    <w:rsid w:val="00E85DEB"/>
    <w:rsid w:val="00E91ACE"/>
    <w:rsid w:val="00E94D75"/>
    <w:rsid w:val="00EA1150"/>
    <w:rsid w:val="00EB1CA8"/>
    <w:rsid w:val="00EB2ACF"/>
    <w:rsid w:val="00EC16AA"/>
    <w:rsid w:val="00EC5502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6066F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EC5502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5</TotalTime>
  <Pages>1</Pages>
  <Words>415</Words>
  <Characters>2288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2698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2023-01-04T22:09:00Z</dcterms:created>
  <dcterms:modified xsi:type="dcterms:W3CDTF">2024-03-04T10:13:00Z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