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4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456"/>
      </w:tblGrid>
      <w:tr w:rsidR="000B5941" w14:paraId="1EA8E158" w14:textId="77777777" w:rsidTr="002D1AA7">
        <w:trPr>
          <w:trHeight w:val="274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FF18BC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2D1AA7"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D48BF" w14:textId="77777777" w:rsidR="009634AA" w:rsidRPr="00A71044" w:rsidRDefault="009634AA" w:rsidP="001248F6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71044">
              <w:rPr>
                <w:rFonts w:ascii="Arial" w:hAnsi="Arial" w:cs="Arial"/>
                <w:sz w:val="24"/>
                <w:szCs w:val="24"/>
              </w:rPr>
              <w:t>La vie fixée des végétaux est permise par le prélèvement de l’eau et des sels minéraux dans le sol et leur distribution à l’ensemble de la plante par la sève brute. Ce transport est utilisé par les fleuristes pour colorer artificiellement les fleurs coupées.</w:t>
            </w:r>
          </w:p>
          <w:p w14:paraId="13CCBFCD" w14:textId="72886B9E" w:rsidR="009634AA" w:rsidRDefault="009634AA" w:rsidP="001248F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A71044">
              <w:rPr>
                <w:rFonts w:ascii="Arial" w:hAnsi="Arial" w:cs="Arial"/>
                <w:sz w:val="24"/>
                <w:szCs w:val="24"/>
              </w:rPr>
              <w:t>L’anatomie des tiges des plantes à fleurs (angiospermes) montre des structures appelées faisceaux conducteurs composés de deux types de vaisseaux conducteurs de sèves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A71044">
              <w:rPr>
                <w:rFonts w:ascii="Arial" w:hAnsi="Arial" w:cs="Arial"/>
                <w:sz w:val="24"/>
                <w:szCs w:val="24"/>
              </w:rPr>
              <w:t>le phloème et le xylème.</w:t>
            </w:r>
          </w:p>
          <w:p w14:paraId="63829B52" w14:textId="33CA1D9C" w:rsidR="00FF18BC" w:rsidRPr="001248F6" w:rsidRDefault="009634AA" w:rsidP="001248F6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71044">
              <w:rPr>
                <w:rFonts w:ascii="Arial" w:hAnsi="Arial" w:cs="Arial"/>
                <w:b/>
                <w:sz w:val="24"/>
                <w:szCs w:val="24"/>
              </w:rPr>
              <w:t xml:space="preserve">On cherche à vérifier, par la réalisation de coupe(s), que chez les plantes à fleurs, la sève brute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formée dans les racines à partir des substances </w:t>
            </w:r>
            <w:r w:rsidRPr="00A71044">
              <w:rPr>
                <w:rFonts w:ascii="Arial" w:hAnsi="Arial" w:cs="Arial"/>
                <w:b/>
                <w:sz w:val="24"/>
                <w:szCs w:val="24"/>
              </w:rPr>
              <w:t>prélevées dans le sol, circule dans la tige par les vaisseaux du xylème.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2D1AA7">
        <w:tc>
          <w:tcPr>
            <w:tcW w:w="15388" w:type="dxa"/>
            <w:shd w:val="clear" w:color="auto" w:fill="D9D9D9" w:themeFill="background1" w:themeFillShade="D9"/>
          </w:tcPr>
          <w:p w14:paraId="6A6FC0B8" w14:textId="759911D3" w:rsidR="0045192F" w:rsidRDefault="0045192F" w:rsidP="00FF18B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2D1AA7">
        <w:tc>
          <w:tcPr>
            <w:tcW w:w="15388" w:type="dxa"/>
            <w:shd w:val="clear" w:color="auto" w:fill="F2F2F2" w:themeFill="background1" w:themeFillShade="F2"/>
          </w:tcPr>
          <w:p w14:paraId="747B2D9A" w14:textId="4D7CA6F7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4234D3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7D245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1248F6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2D1AA7">
        <w:tc>
          <w:tcPr>
            <w:tcW w:w="15388" w:type="dxa"/>
          </w:tcPr>
          <w:p w14:paraId="24B3E5E0" w14:textId="77777777" w:rsidR="000F3B1D" w:rsidRDefault="000F3B1D" w:rsidP="0045192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38D99C" w14:textId="3DE5DA1F" w:rsidR="00B8255E" w:rsidRDefault="00B8255E" w:rsidP="00FF18B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E52231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FF18BC" w:rsidRPr="00FF18BC">
              <w:rPr>
                <w:rFonts w:ascii="Arial" w:hAnsi="Arial" w:cs="Arial"/>
                <w:sz w:val="24"/>
                <w:szCs w:val="24"/>
              </w:rPr>
              <w:t>vérifier que la sève brute formée dans les racines à partir des substances prélevées dans le sol, circule dans la t</w:t>
            </w:r>
            <w:r w:rsidR="00FF18BC">
              <w:rPr>
                <w:rFonts w:ascii="Arial" w:hAnsi="Arial" w:cs="Arial"/>
                <w:sz w:val="24"/>
                <w:szCs w:val="24"/>
              </w:rPr>
              <w:t>ige par les vaisseaux du xylème.</w:t>
            </w:r>
          </w:p>
          <w:p w14:paraId="35EDB227" w14:textId="77777777" w:rsidR="00FF18BC" w:rsidRDefault="00FF18BC" w:rsidP="00FF18BC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pour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formaliser votre proposition</w:t>
            </w:r>
            <w:r w:rsidRPr="001B0FE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à l’oral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D5ECB3" w14:textId="7FA8439E" w:rsidR="00E52231" w:rsidRPr="00E52231" w:rsidRDefault="00E52231" w:rsidP="00E522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  <w:p w14:paraId="50BDD058" w14:textId="2CE67681" w:rsidR="000F3B1D" w:rsidRPr="00F3508F" w:rsidRDefault="000F3B1D" w:rsidP="00B825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92F" w14:paraId="64964D67" w14:textId="77777777" w:rsidTr="002D1AA7">
        <w:tc>
          <w:tcPr>
            <w:tcW w:w="15388" w:type="dxa"/>
            <w:shd w:val="clear" w:color="auto" w:fill="F2F2F2" w:themeFill="background1" w:themeFillShade="F2"/>
          </w:tcPr>
          <w:p w14:paraId="28C9E657" w14:textId="13DED7AB" w:rsidR="0045192F" w:rsidRPr="007D2451" w:rsidRDefault="009C5757" w:rsidP="007D2451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7D245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1248F6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2D1AA7">
        <w:tc>
          <w:tcPr>
            <w:tcW w:w="15388" w:type="dxa"/>
          </w:tcPr>
          <w:p w14:paraId="24868643" w14:textId="3E4C0E27" w:rsidR="000F3B1D" w:rsidRPr="00802831" w:rsidRDefault="000F3B1D" w:rsidP="0045192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BDC01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5E5901" w14:textId="557496C2" w:rsidR="00CA2922" w:rsidRPr="00802831" w:rsidRDefault="00CA2922" w:rsidP="00FF18B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3F3DD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BA6023" w14:textId="77777777" w:rsidR="00FF18BC" w:rsidRDefault="00CA2922" w:rsidP="00FF18B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</w:t>
            </w:r>
            <w:r w:rsidR="00FF18BC" w:rsidRPr="00802831">
              <w:rPr>
                <w:rFonts w:ascii="Arial" w:hAnsi="Arial" w:cs="Arial"/>
                <w:bCs/>
                <w:sz w:val="24"/>
                <w:szCs w:val="24"/>
              </w:rPr>
              <w:t>données,</w:t>
            </w:r>
            <w:r w:rsidR="00FF18BC" w:rsidRPr="00FF18BC">
              <w:rPr>
                <w:rFonts w:ascii="Arial" w:hAnsi="Arial" w:cs="Arial"/>
                <w:sz w:val="24"/>
                <w:szCs w:val="24"/>
              </w:rPr>
              <w:t xml:space="preserve"> que la sève brute formée dans les racines à partir des substances prélevées dans le sol, circule dans la t</w:t>
            </w:r>
            <w:r w:rsidR="00FF18BC">
              <w:rPr>
                <w:rFonts w:ascii="Arial" w:hAnsi="Arial" w:cs="Arial"/>
                <w:sz w:val="24"/>
                <w:szCs w:val="24"/>
              </w:rPr>
              <w:t>ige par les vaisseaux du xylème.</w:t>
            </w:r>
          </w:p>
          <w:p w14:paraId="11F5D975" w14:textId="5C559823" w:rsidR="000F3B1D" w:rsidRPr="00802831" w:rsidRDefault="000F3B1D" w:rsidP="00FF18B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7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922"/>
        <w:gridCol w:w="8649"/>
      </w:tblGrid>
      <w:tr w:rsidR="0054079E" w14:paraId="7ED1906A" w14:textId="77777777" w:rsidTr="00E65527">
        <w:trPr>
          <w:trHeight w:val="435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7D2451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6E4806" w14:paraId="50FF2CF2" w14:textId="77777777" w:rsidTr="00E65527">
        <w:trPr>
          <w:trHeight w:val="3088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F0AB7" w14:textId="77777777" w:rsidR="006E4806" w:rsidRPr="00FF18BC" w:rsidRDefault="006E4806" w:rsidP="006E4806">
            <w:pPr>
              <w:pStyle w:val="Corpsdetexte"/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F18BC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075AD42B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t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ige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 xml:space="preserve"> coupée d’une plante à fleur trempant dans de l’eau colorée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428A2640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l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ame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 xml:space="preserve"> de rasoir ou microtome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48EA3AAB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m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oelle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 xml:space="preserve"> de sureau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5CD98EA8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p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inces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 xml:space="preserve"> fines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2142A963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v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erre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 xml:space="preserve"> de montre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1568F317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l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ames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>, lamelles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76426EB4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p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apier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 xml:space="preserve"> filtre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6D9DD5D1" w14:textId="77777777" w:rsidR="006E4806" w:rsidRPr="00A71044" w:rsidRDefault="006E4806" w:rsidP="006E4806">
            <w:pPr>
              <w:numPr>
                <w:ilvl w:val="0"/>
                <w:numId w:val="3"/>
              </w:numPr>
              <w:tabs>
                <w:tab w:val="clear" w:pos="360"/>
              </w:tabs>
              <w:suppressAutoHyphens w:val="0"/>
              <w:spacing w:after="60"/>
              <w:ind w:left="28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f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lacon</w:t>
            </w:r>
            <w:proofErr w:type="gramEnd"/>
            <w:r w:rsidRPr="00A71044">
              <w:rPr>
                <w:rFonts w:ascii="Arial" w:hAnsi="Arial" w:cs="Arial"/>
                <w:bCs/>
                <w:sz w:val="24"/>
                <w:szCs w:val="24"/>
              </w:rPr>
              <w:t xml:space="preserve"> d’eau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5B209874" w14:textId="77777777" w:rsidR="006E4806" w:rsidRPr="00A71044" w:rsidRDefault="006E4806" w:rsidP="006E4806">
            <w:pPr>
              <w:pStyle w:val="Corpsdetexte"/>
              <w:numPr>
                <w:ilvl w:val="0"/>
                <w:numId w:val="3"/>
              </w:numPr>
              <w:tabs>
                <w:tab w:val="clear" w:pos="360"/>
              </w:tabs>
              <w:spacing w:after="60"/>
              <w:ind w:left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A71044">
              <w:rPr>
                <w:rFonts w:ascii="Arial" w:hAnsi="Arial" w:cs="Arial"/>
                <w:sz w:val="24"/>
                <w:szCs w:val="24"/>
              </w:rPr>
              <w:t>olorants</w:t>
            </w:r>
            <w:proofErr w:type="gramEnd"/>
            <w:r w:rsidRPr="00A71044">
              <w:rPr>
                <w:rFonts w:ascii="Arial" w:hAnsi="Arial" w:cs="Arial"/>
                <w:sz w:val="24"/>
                <w:szCs w:val="24"/>
              </w:rPr>
              <w:t xml:space="preserve"> spécifiques des cellules végétales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850ECFA" w14:textId="77777777" w:rsidR="00FF18BC" w:rsidRDefault="006E4806" w:rsidP="00FF18BC">
            <w:pPr>
              <w:pStyle w:val="Corpsdetexte"/>
              <w:numPr>
                <w:ilvl w:val="0"/>
                <w:numId w:val="3"/>
              </w:numPr>
              <w:tabs>
                <w:tab w:val="clear" w:pos="360"/>
              </w:tabs>
              <w:spacing w:after="60"/>
              <w:ind w:left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A71044">
              <w:rPr>
                <w:rFonts w:ascii="Arial" w:hAnsi="Arial" w:cs="Arial"/>
                <w:sz w:val="24"/>
                <w:szCs w:val="24"/>
              </w:rPr>
              <w:t>icroscope</w:t>
            </w:r>
            <w:proofErr w:type="gramEnd"/>
            <w:r w:rsidRPr="00A71044">
              <w:rPr>
                <w:rFonts w:ascii="Arial" w:hAnsi="Arial" w:cs="Arial"/>
                <w:sz w:val="24"/>
                <w:szCs w:val="24"/>
              </w:rPr>
              <w:t xml:space="preserve"> optique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2B604C04" w:rsidR="006E4806" w:rsidRPr="00FF18BC" w:rsidRDefault="006E4806" w:rsidP="00FF18BC">
            <w:pPr>
              <w:pStyle w:val="Corpsdetexte"/>
              <w:numPr>
                <w:ilvl w:val="0"/>
                <w:numId w:val="3"/>
              </w:numPr>
              <w:tabs>
                <w:tab w:val="clear" w:pos="360"/>
              </w:tabs>
              <w:spacing w:after="60"/>
              <w:ind w:left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8BC">
              <w:rPr>
                <w:rFonts w:ascii="Arial" w:hAnsi="Arial" w:cs="Arial"/>
                <w:sz w:val="24"/>
                <w:szCs w:val="24"/>
              </w:rPr>
              <w:t>fiche technique de réalisation de coupes.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C5FC8" w14:textId="26630155" w:rsidR="006E4806" w:rsidRPr="004D54E2" w:rsidRDefault="006E4806" w:rsidP="006E4806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4D5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</w:t>
            </w:r>
            <w:r w:rsidR="00FF18BC">
              <w:rPr>
                <w:rFonts w:ascii="Arial" w:hAnsi="Arial" w:cs="Arial"/>
                <w:b/>
                <w:bCs/>
                <w:sz w:val="24"/>
                <w:szCs w:val="24"/>
              </w:rPr>
              <w:t>vérifier que</w:t>
            </w:r>
            <w:r w:rsidRPr="004D54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1044">
              <w:rPr>
                <w:rFonts w:ascii="Arial" w:hAnsi="Arial" w:cs="Arial"/>
                <w:b/>
                <w:sz w:val="24"/>
                <w:szCs w:val="24"/>
              </w:rPr>
              <w:t xml:space="preserve">la sève brute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formée dans les racines à partir des substances </w:t>
            </w:r>
            <w:r w:rsidRPr="00A71044">
              <w:rPr>
                <w:rFonts w:ascii="Arial" w:hAnsi="Arial" w:cs="Arial"/>
                <w:b/>
                <w:sz w:val="24"/>
                <w:szCs w:val="24"/>
              </w:rPr>
              <w:t>prélevées dans le sol, circule dans la tige par les vaisseaux du xylème</w:t>
            </w:r>
            <w:r w:rsidRPr="004D54E2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0A237857" w14:textId="77777777" w:rsidR="006E4806" w:rsidRPr="004D54E2" w:rsidRDefault="006E4806" w:rsidP="006E4806">
            <w:pPr>
              <w:pStyle w:val="Corpsdetexte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8B4ABA4" w14:textId="574C8CEF" w:rsidR="006E4806" w:rsidRPr="00A71044" w:rsidRDefault="006E4806" w:rsidP="006E4806">
            <w:pPr>
              <w:pStyle w:val="Paragraphedeliste"/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720"/>
              <w:contextualSpacing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Pr="004D54E2">
              <w:rPr>
                <w:rFonts w:ascii="Arial" w:hAnsi="Arial" w:cs="Arial"/>
                <w:b/>
                <w:bCs/>
                <w:sz w:val="24"/>
                <w:szCs w:val="24"/>
              </w:rPr>
              <w:t>éalis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er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E4806">
              <w:rPr>
                <w:rFonts w:ascii="Arial" w:hAnsi="Arial" w:cs="Arial"/>
                <w:sz w:val="24"/>
                <w:szCs w:val="24"/>
              </w:rPr>
              <w:t>d</w:t>
            </w:r>
            <w:r w:rsidRPr="00A71044">
              <w:rPr>
                <w:rFonts w:ascii="Arial" w:hAnsi="Arial" w:cs="Arial"/>
                <w:bCs/>
                <w:sz w:val="24"/>
                <w:szCs w:val="24"/>
              </w:rPr>
              <w:t>es coupes transversales de tiges de plantes.</w:t>
            </w:r>
            <w:r w:rsidR="00FF18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18BC" w:rsidRPr="00FF18BC">
              <w:rPr>
                <w:rFonts w:ascii="Arial" w:hAnsi="Arial" w:cs="Arial"/>
                <w:b/>
                <w:sz w:val="24"/>
                <w:szCs w:val="24"/>
              </w:rPr>
              <w:t>Utilis</w:t>
            </w:r>
            <w:r w:rsidR="00FF18BC">
              <w:rPr>
                <w:rFonts w:ascii="Arial" w:hAnsi="Arial" w:cs="Arial"/>
                <w:b/>
                <w:sz w:val="24"/>
                <w:szCs w:val="24"/>
              </w:rPr>
              <w:t>er</w:t>
            </w:r>
            <w:r w:rsidR="00FF18BC" w:rsidRPr="00A71044">
              <w:rPr>
                <w:rFonts w:ascii="Arial" w:hAnsi="Arial" w:cs="Arial"/>
                <w:sz w:val="24"/>
                <w:szCs w:val="24"/>
              </w:rPr>
              <w:t xml:space="preserve"> de la moelle de sureau si le diamètre de la tige est petit.</w:t>
            </w:r>
          </w:p>
          <w:p w14:paraId="2684D57F" w14:textId="16296FA6" w:rsidR="006E4806" w:rsidRPr="00D40E91" w:rsidRDefault="006E4806" w:rsidP="006E4806">
            <w:pPr>
              <w:pStyle w:val="Paragraphedeliste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</w:pPr>
          </w:p>
        </w:tc>
      </w:tr>
      <w:tr w:rsidR="0035591F" w:rsidRPr="0035591F" w14:paraId="4FD85E36" w14:textId="77777777" w:rsidTr="00E65527">
        <w:trPr>
          <w:trHeight w:val="1106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C2883" w14:textId="50B7B748" w:rsidR="006E4806" w:rsidRPr="0035591F" w:rsidRDefault="006E4806" w:rsidP="00E964DF">
            <w:pPr>
              <w:pStyle w:val="Corpsdetexte"/>
              <w:spacing w:before="120"/>
              <w:jc w:val="both"/>
            </w:pPr>
            <w:r w:rsidRPr="0035591F">
              <w:rPr>
                <w:rFonts w:ascii="Arial" w:hAnsi="Arial" w:cs="Arial"/>
                <w:b/>
                <w:sz w:val="24"/>
                <w:szCs w:val="24"/>
              </w:rPr>
              <w:t xml:space="preserve">Sécurité </w:t>
            </w:r>
          </w:p>
          <w:p w14:paraId="2957B808" w14:textId="32FF2F41" w:rsidR="006E4806" w:rsidRPr="0035591F" w:rsidRDefault="0035591F" w:rsidP="00E964DF">
            <w:pPr>
              <w:pStyle w:val="Corpsdetexte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5591F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3615E686" wp14:editId="541D859D">
                  <wp:extent cx="635000" cy="635000"/>
                  <wp:effectExtent l="0" t="0" r="0" b="0"/>
                  <wp:docPr id="4" name="Image 4" descr="C:\Users\avialar\AppData\Local\Microsoft\Windows\INetCache\Content.MSO\EDB9A36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vialar\AppData\Local\Microsoft\Windows\INetCache\Content.MSO\EDB9A36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9C4C5D" w14:textId="7487E823" w:rsidR="0035591F" w:rsidRPr="0035591F" w:rsidRDefault="0035591F" w:rsidP="00E964DF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Carmin acétique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D62A5" w14:textId="77777777" w:rsidR="006E4806" w:rsidRPr="0035591F" w:rsidRDefault="006E4806" w:rsidP="00E964DF">
            <w:pPr>
              <w:pStyle w:val="western"/>
              <w:spacing w:before="120" w:after="120"/>
              <w:ind w:right="466"/>
              <w:jc w:val="both"/>
              <w:rPr>
                <w:rFonts w:ascii="Arial" w:hAnsi="Arial" w:cs="Arial"/>
                <w:b/>
                <w:bCs/>
              </w:rPr>
            </w:pPr>
            <w:r w:rsidRPr="0035591F">
              <w:rPr>
                <w:rFonts w:ascii="Arial" w:hAnsi="Arial" w:cs="Arial"/>
                <w:b/>
                <w:bCs/>
              </w:rPr>
              <w:t xml:space="preserve">Précautions de la manipulation </w:t>
            </w:r>
          </w:p>
          <w:p w14:paraId="6AA4D04F" w14:textId="3AB374D5" w:rsidR="006E4806" w:rsidRPr="0035591F" w:rsidRDefault="006E4806" w:rsidP="00FF18B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5591F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35591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822D3D2" wp14:editId="2B24FF20">
                  <wp:extent cx="576000" cy="576000"/>
                  <wp:effectExtent l="0" t="0" r="0" b="0"/>
                  <wp:docPr id="5" name="Image 1" descr="blou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blou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591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55C2E50" wp14:editId="7C699C09">
                  <wp:extent cx="784552" cy="576000"/>
                  <wp:effectExtent l="0" t="0" r="0" b="0"/>
                  <wp:docPr id="6" name="Image 9" descr="lunet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 descr="lunet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552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591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A93F176" wp14:editId="18A34729">
                  <wp:extent cx="576000" cy="576000"/>
                  <wp:effectExtent l="0" t="0" r="0" b="0"/>
                  <wp:docPr id="7" name="Image 3" descr="ga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ga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CBD682A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0778"/>
        <w:gridCol w:w="4791"/>
      </w:tblGrid>
      <w:tr w:rsidR="0045192F" w14:paraId="5ABEE045" w14:textId="77777777" w:rsidTr="002D1AA7">
        <w:trPr>
          <w:trHeight w:val="174"/>
        </w:trPr>
        <w:tc>
          <w:tcPr>
            <w:tcW w:w="15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5DF835A" w14:textId="77777777" w:rsidR="0045192F" w:rsidRPr="00E81639" w:rsidRDefault="0045192F" w:rsidP="00E964DF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45192F" w14:paraId="387CE30C" w14:textId="77777777" w:rsidTr="002D1AA7">
        <w:trPr>
          <w:trHeight w:val="6323"/>
        </w:trPr>
        <w:tc>
          <w:tcPr>
            <w:tcW w:w="10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C378" w14:textId="77777777" w:rsidR="006E4806" w:rsidRPr="00E964DF" w:rsidRDefault="006E4806" w:rsidP="00E964DF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964DF">
              <w:rPr>
                <w:rFonts w:ascii="Arial" w:hAnsi="Arial" w:cs="Arial"/>
                <w:b/>
                <w:sz w:val="24"/>
                <w:szCs w:val="24"/>
              </w:rPr>
              <w:t>Tissus observables au niveau des faisceaux conducteurs dans une tige de plante angiosperme après coloration au carmin-vert d’iode :</w:t>
            </w:r>
          </w:p>
          <w:tbl>
            <w:tblPr>
              <w:tblpPr w:leftFromText="141" w:rightFromText="141" w:vertAnchor="page" w:horzAnchor="margin" w:tblpY="1261"/>
              <w:tblOverlap w:val="never"/>
              <w:tblW w:w="498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9"/>
              <w:gridCol w:w="3878"/>
              <w:gridCol w:w="3878"/>
            </w:tblGrid>
            <w:tr w:rsidR="006E4806" w:rsidRPr="00A71044" w14:paraId="063BE97C" w14:textId="77777777" w:rsidTr="006F3C87">
              <w:trPr>
                <w:trHeight w:val="1941"/>
              </w:trPr>
              <w:tc>
                <w:tcPr>
                  <w:tcW w:w="1315" w:type="pct"/>
                  <w:vAlign w:val="center"/>
                </w:tcPr>
                <w:p w14:paraId="2B19C3E3" w14:textId="77777777" w:rsidR="006E4806" w:rsidRPr="00A71044" w:rsidRDefault="006E4806" w:rsidP="006E4806">
                  <w:pPr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b/>
                      <w:sz w:val="24"/>
                      <w:szCs w:val="24"/>
                    </w:rPr>
                    <w:t>Tissus</w:t>
                  </w:r>
                </w:p>
              </w:tc>
              <w:tc>
                <w:tcPr>
                  <w:tcW w:w="1842" w:type="pct"/>
                  <w:vAlign w:val="center"/>
                </w:tcPr>
                <w:p w14:paraId="167CA785" w14:textId="77777777" w:rsidR="006E4806" w:rsidRPr="00A71044" w:rsidRDefault="006E4806" w:rsidP="006E480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b/>
                      <w:sz w:val="24"/>
                      <w:szCs w:val="24"/>
                    </w:rPr>
                    <w:t>Phloème</w:t>
                  </w:r>
                </w:p>
                <w:p w14:paraId="47335ACE" w14:textId="77777777" w:rsidR="006E4806" w:rsidRPr="00A71044" w:rsidRDefault="006E4806" w:rsidP="006E4806">
                  <w:pPr>
                    <w:spacing w:before="120" w:after="12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 wp14:anchorId="67B2AA79" wp14:editId="4C42CD3B">
                        <wp:extent cx="1171575" cy="1057275"/>
                        <wp:effectExtent l="0" t="0" r="0" b="0"/>
                        <wp:docPr id="1" name="Image 11" descr="http://ressources.univ-lemans.fr/AccesLibre/UM/Pedago/biologie/01/WEB%20BV/Images/bryone%20%28phloeme%20externe%2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 descr="http://ressources.univ-lemans.fr/AccesLibre/UM/Pedago/biologie/01/WEB%20BV/Images/bryone%20%28phloeme%20externe%2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19" t="12601" r="10226" b="121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pct"/>
                  <w:vAlign w:val="center"/>
                </w:tcPr>
                <w:p w14:paraId="182F613D" w14:textId="77777777" w:rsidR="006E4806" w:rsidRPr="00A71044" w:rsidRDefault="006E4806" w:rsidP="006E480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b/>
                      <w:sz w:val="24"/>
                      <w:szCs w:val="24"/>
                    </w:rPr>
                    <w:t>Xylème</w:t>
                  </w:r>
                </w:p>
                <w:p w14:paraId="6CB210D0" w14:textId="77777777" w:rsidR="006E4806" w:rsidRPr="00A71044" w:rsidRDefault="006E4806" w:rsidP="006E4806">
                  <w:pPr>
                    <w:spacing w:before="120" w:after="12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 wp14:anchorId="39C83224" wp14:editId="50386386">
                        <wp:extent cx="1333500" cy="1057275"/>
                        <wp:effectExtent l="0" t="0" r="0" b="0"/>
                        <wp:docPr id="2" name="Image 12" descr="http://ressources.univ-lemans.fr/AccesLibre/UM/Pedago/biologie/01/WEB%20BV/Images/bryone%20%28xyleme%2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2" descr="http://ressources.univ-lemans.fr/AccesLibre/UM/Pedago/biologie/01/WEB%20BV/Images/bryone%20%28xyleme%2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885" b="150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0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E4806" w:rsidRPr="00A71044" w14:paraId="4BDA2104" w14:textId="77777777" w:rsidTr="006F3C87">
              <w:trPr>
                <w:trHeight w:val="1941"/>
              </w:trPr>
              <w:tc>
                <w:tcPr>
                  <w:tcW w:w="1315" w:type="pct"/>
                  <w:vAlign w:val="center"/>
                </w:tcPr>
                <w:p w14:paraId="4378FF81" w14:textId="77777777" w:rsidR="006E4806" w:rsidRPr="00A71044" w:rsidRDefault="006E4806" w:rsidP="006E4806">
                  <w:pPr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14:paraId="13EEE051" w14:textId="77777777" w:rsidR="006E4806" w:rsidRPr="00A71044" w:rsidRDefault="006E4806" w:rsidP="006E4806">
                  <w:pPr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b/>
                      <w:sz w:val="24"/>
                      <w:szCs w:val="24"/>
                    </w:rPr>
                    <w:t>Caractéristiques et coloration au carmin-vert d’iode</w:t>
                  </w:r>
                  <w:r w:rsidRPr="00A71044" w:rsidDel="0082237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4E203ED8" w14:textId="77777777" w:rsidR="006E4806" w:rsidRPr="00A71044" w:rsidRDefault="006E4806" w:rsidP="006E480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sz w:val="24"/>
                      <w:szCs w:val="24"/>
                    </w:rPr>
                    <w:t>(Colorant des structures cellulaires)</w:t>
                  </w:r>
                </w:p>
              </w:tc>
              <w:tc>
                <w:tcPr>
                  <w:tcW w:w="1842" w:type="pct"/>
                  <w:vAlign w:val="center"/>
                </w:tcPr>
                <w:p w14:paraId="4617BFE2" w14:textId="77777777" w:rsidR="006E4806" w:rsidRPr="00A71044" w:rsidRDefault="006E4806" w:rsidP="006E480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sz w:val="24"/>
                      <w:szCs w:val="24"/>
                    </w:rPr>
                    <w:t>Cellules à paroi constituée de cellulose.</w:t>
                  </w:r>
                </w:p>
                <w:p w14:paraId="18290BA8" w14:textId="77777777" w:rsidR="006E4806" w:rsidRPr="00A71044" w:rsidRDefault="006E4806" w:rsidP="006E4806">
                  <w:pPr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sz w:val="24"/>
                      <w:szCs w:val="24"/>
                    </w:rPr>
                    <w:t>Colorées en rose.</w:t>
                  </w:r>
                </w:p>
              </w:tc>
              <w:tc>
                <w:tcPr>
                  <w:tcW w:w="1842" w:type="pct"/>
                  <w:vAlign w:val="center"/>
                </w:tcPr>
                <w:p w14:paraId="79B0FB9A" w14:textId="77777777" w:rsidR="006E4806" w:rsidRPr="00A71044" w:rsidRDefault="006E4806" w:rsidP="006E4806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sz w:val="24"/>
                      <w:szCs w:val="24"/>
                    </w:rPr>
                    <w:t>Cellules plus grosses que les autres à paroi constituée de lignine, épaisse et très rigide.</w:t>
                  </w:r>
                </w:p>
                <w:p w14:paraId="15B13F67" w14:textId="77777777" w:rsidR="006E4806" w:rsidRPr="00A71044" w:rsidRDefault="006E4806" w:rsidP="006E4806">
                  <w:pPr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71044">
                    <w:rPr>
                      <w:rFonts w:ascii="Arial" w:hAnsi="Arial" w:cs="Arial"/>
                      <w:sz w:val="24"/>
                      <w:szCs w:val="24"/>
                    </w:rPr>
                    <w:t>Colorées en vert.</w:t>
                  </w:r>
                </w:p>
              </w:tc>
            </w:tr>
          </w:tbl>
          <w:p w14:paraId="6BEFDD5E" w14:textId="7C8D3D11" w:rsidR="0045192F" w:rsidRPr="00167AF4" w:rsidRDefault="0045192F" w:rsidP="00FA17DB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</w:rPr>
            </w:pPr>
            <w:bookmarkStart w:id="0" w:name="_GoBack"/>
            <w:bookmarkEnd w:id="0"/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486C" w14:textId="77777777" w:rsidR="0045192F" w:rsidRPr="00D64178" w:rsidRDefault="0045192F" w:rsidP="00FA17DB">
            <w:pPr>
              <w:rPr>
                <w:color w:val="000000"/>
                <w:sz w:val="10"/>
                <w:szCs w:val="10"/>
              </w:rPr>
            </w:pPr>
          </w:p>
          <w:p w14:paraId="7C21F401" w14:textId="1C19D0AF" w:rsidR="006E4806" w:rsidRPr="00E964DF" w:rsidRDefault="006E4806" w:rsidP="006E4806">
            <w:pPr>
              <w:spacing w:before="120"/>
              <w:ind w:left="-14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964DF">
              <w:rPr>
                <w:rFonts w:ascii="Arial" w:hAnsi="Arial" w:cs="Arial"/>
                <w:b/>
                <w:sz w:val="24"/>
                <w:szCs w:val="24"/>
              </w:rPr>
              <w:t>Les fleuristes utilisent des solutions colorées qui se fixent sur les parois des vaisseaux traversés :</w:t>
            </w:r>
          </w:p>
          <w:p w14:paraId="3D9ACB77" w14:textId="77777777" w:rsidR="006E4806" w:rsidRPr="00A71044" w:rsidRDefault="006E4806" w:rsidP="006E4806">
            <w:pPr>
              <w:rPr>
                <w:rFonts w:ascii="Arial" w:hAnsi="Arial" w:cs="Arial"/>
                <w:sz w:val="24"/>
                <w:szCs w:val="24"/>
              </w:rPr>
            </w:pPr>
            <w:r w:rsidRPr="00A71044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E697C48" wp14:editId="4FD1A4E8">
                  <wp:extent cx="2838450" cy="1295400"/>
                  <wp:effectExtent l="0" t="9525" r="0" b="0"/>
                  <wp:docPr id="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8384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F29F0" w14:textId="767C6CDE" w:rsidR="0045192F" w:rsidRPr="00E81639" w:rsidRDefault="006E4806" w:rsidP="00E964DF">
            <w:pPr>
              <w:jc w:val="left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A71044">
              <w:rPr>
                <w:rFonts w:ascii="Arial" w:hAnsi="Arial" w:cs="Arial"/>
                <w:sz w:val="24"/>
                <w:szCs w:val="24"/>
              </w:rPr>
              <w:t>Tige d’eucalyptus trempant dans une solution rouge d’éosine.</w:t>
            </w:r>
          </w:p>
          <w:p w14:paraId="23B38187" w14:textId="77777777" w:rsidR="0085382C" w:rsidRPr="00E81639" w:rsidRDefault="0085382C" w:rsidP="00145592">
            <w:pPr>
              <w:jc w:val="both"/>
              <w:rPr>
                <w:strike/>
                <w:sz w:val="24"/>
                <w:szCs w:val="24"/>
              </w:rPr>
            </w:pPr>
          </w:p>
        </w:tc>
      </w:tr>
    </w:tbl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2D1AA7">
      <w:headerReference w:type="default" r:id="rId14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497A3" w14:textId="77777777" w:rsidR="004D040B" w:rsidRDefault="004D040B">
      <w:r>
        <w:separator/>
      </w:r>
    </w:p>
  </w:endnote>
  <w:endnote w:type="continuationSeparator" w:id="0">
    <w:p w14:paraId="496E41A7" w14:textId="77777777" w:rsidR="004D040B" w:rsidRDefault="004D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BC094" w14:textId="77777777" w:rsidR="004D040B" w:rsidRDefault="004D040B">
      <w:r>
        <w:separator/>
      </w:r>
    </w:p>
  </w:footnote>
  <w:footnote w:type="continuationSeparator" w:id="0">
    <w:p w14:paraId="4AFAC3D7" w14:textId="77777777" w:rsidR="004D040B" w:rsidRDefault="004D0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11EF2" w14:textId="52ACD396" w:rsidR="000F3B1D" w:rsidRPr="001248F6" w:rsidRDefault="009634AA" w:rsidP="001248F6">
    <w:pPr>
      <w:pStyle w:val="En-tte"/>
      <w:rPr>
        <w:rFonts w:ascii="Arial" w:hAnsi="Arial" w:cs="Arial"/>
        <w:sz w:val="24"/>
        <w:szCs w:val="24"/>
      </w:rPr>
    </w:pPr>
    <w:r w:rsidRPr="003734E9">
      <w:rPr>
        <w:rFonts w:ascii="Arial" w:hAnsi="Arial" w:cs="Arial"/>
        <w:b/>
        <w:sz w:val="24"/>
        <w:szCs w:val="24"/>
      </w:rPr>
      <w:t>Structures permettant la circulation de la s</w:t>
    </w:r>
    <w:r>
      <w:rPr>
        <w:rFonts w:ascii="Arial" w:hAnsi="Arial" w:cs="Arial"/>
        <w:b/>
        <w:sz w:val="24"/>
        <w:szCs w:val="24"/>
      </w:rPr>
      <w:t>è</w:t>
    </w:r>
    <w:r w:rsidRPr="003734E9">
      <w:rPr>
        <w:rFonts w:ascii="Arial" w:hAnsi="Arial" w:cs="Arial"/>
        <w:b/>
        <w:sz w:val="24"/>
        <w:szCs w:val="24"/>
      </w:rPr>
      <w:t>ve brute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9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10EF5"/>
    <w:multiLevelType w:val="hybridMultilevel"/>
    <w:tmpl w:val="0462909E"/>
    <w:lvl w:ilvl="0" w:tplc="7B0ABF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0"/>
  </w:num>
  <w:num w:numId="5">
    <w:abstractNumId w:val="3"/>
  </w:num>
  <w:num w:numId="6">
    <w:abstractNumId w:val="12"/>
  </w:num>
  <w:num w:numId="7">
    <w:abstractNumId w:val="30"/>
  </w:num>
  <w:num w:numId="8">
    <w:abstractNumId w:val="36"/>
  </w:num>
  <w:num w:numId="9">
    <w:abstractNumId w:val="39"/>
  </w:num>
  <w:num w:numId="10">
    <w:abstractNumId w:val="6"/>
  </w:num>
  <w:num w:numId="11">
    <w:abstractNumId w:val="21"/>
  </w:num>
  <w:num w:numId="12">
    <w:abstractNumId w:val="4"/>
  </w:num>
  <w:num w:numId="13">
    <w:abstractNumId w:val="31"/>
  </w:num>
  <w:num w:numId="14">
    <w:abstractNumId w:val="25"/>
  </w:num>
  <w:num w:numId="15">
    <w:abstractNumId w:val="19"/>
  </w:num>
  <w:num w:numId="16">
    <w:abstractNumId w:val="22"/>
  </w:num>
  <w:num w:numId="17">
    <w:abstractNumId w:val="24"/>
  </w:num>
  <w:num w:numId="18">
    <w:abstractNumId w:val="15"/>
  </w:num>
  <w:num w:numId="19">
    <w:abstractNumId w:val="26"/>
  </w:num>
  <w:num w:numId="20">
    <w:abstractNumId w:val="23"/>
  </w:num>
  <w:num w:numId="21">
    <w:abstractNumId w:val="9"/>
  </w:num>
  <w:num w:numId="22">
    <w:abstractNumId w:val="18"/>
  </w:num>
  <w:num w:numId="23">
    <w:abstractNumId w:val="34"/>
  </w:num>
  <w:num w:numId="24">
    <w:abstractNumId w:val="14"/>
  </w:num>
  <w:num w:numId="25">
    <w:abstractNumId w:val="37"/>
  </w:num>
  <w:num w:numId="26">
    <w:abstractNumId w:val="11"/>
  </w:num>
  <w:num w:numId="27">
    <w:abstractNumId w:val="10"/>
  </w:num>
  <w:num w:numId="28">
    <w:abstractNumId w:val="7"/>
  </w:num>
  <w:num w:numId="29">
    <w:abstractNumId w:val="17"/>
  </w:num>
  <w:num w:numId="30">
    <w:abstractNumId w:val="35"/>
  </w:num>
  <w:num w:numId="31">
    <w:abstractNumId w:val="38"/>
  </w:num>
  <w:num w:numId="32">
    <w:abstractNumId w:val="33"/>
  </w:num>
  <w:num w:numId="33">
    <w:abstractNumId w:val="16"/>
  </w:num>
  <w:num w:numId="34">
    <w:abstractNumId w:val="29"/>
  </w:num>
  <w:num w:numId="35">
    <w:abstractNumId w:val="27"/>
  </w:num>
  <w:num w:numId="36">
    <w:abstractNumId w:val="8"/>
  </w:num>
  <w:num w:numId="37">
    <w:abstractNumId w:val="5"/>
  </w:num>
  <w:num w:numId="38">
    <w:abstractNumId w:val="20"/>
  </w:num>
  <w:num w:numId="39">
    <w:abstractNumId w:val="28"/>
  </w:num>
  <w:num w:numId="40">
    <w:abstractNumId w:val="13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307E8"/>
    <w:rsid w:val="00092C0F"/>
    <w:rsid w:val="00094CFF"/>
    <w:rsid w:val="000A2444"/>
    <w:rsid w:val="000B422C"/>
    <w:rsid w:val="000B5941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248F6"/>
    <w:rsid w:val="00143595"/>
    <w:rsid w:val="00145592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543B5"/>
    <w:rsid w:val="002839D0"/>
    <w:rsid w:val="0029323B"/>
    <w:rsid w:val="002A0BAD"/>
    <w:rsid w:val="002A1830"/>
    <w:rsid w:val="002B7518"/>
    <w:rsid w:val="002D1AA7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5591F"/>
    <w:rsid w:val="00372656"/>
    <w:rsid w:val="00375B3F"/>
    <w:rsid w:val="0037655B"/>
    <w:rsid w:val="003828EF"/>
    <w:rsid w:val="00384294"/>
    <w:rsid w:val="00385CFB"/>
    <w:rsid w:val="003A41CB"/>
    <w:rsid w:val="003B18B5"/>
    <w:rsid w:val="003C4331"/>
    <w:rsid w:val="003D49D9"/>
    <w:rsid w:val="003D7860"/>
    <w:rsid w:val="003E5D79"/>
    <w:rsid w:val="003F0BB8"/>
    <w:rsid w:val="003F3DD6"/>
    <w:rsid w:val="003F72E5"/>
    <w:rsid w:val="00400918"/>
    <w:rsid w:val="004067AA"/>
    <w:rsid w:val="00411EF9"/>
    <w:rsid w:val="004234D3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40B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22466"/>
    <w:rsid w:val="006351A7"/>
    <w:rsid w:val="0066097B"/>
    <w:rsid w:val="00661418"/>
    <w:rsid w:val="0066142F"/>
    <w:rsid w:val="006940B0"/>
    <w:rsid w:val="006A114A"/>
    <w:rsid w:val="006A71C6"/>
    <w:rsid w:val="006A74F0"/>
    <w:rsid w:val="006C2947"/>
    <w:rsid w:val="006D0F2D"/>
    <w:rsid w:val="006D324F"/>
    <w:rsid w:val="006D4302"/>
    <w:rsid w:val="006D7FCD"/>
    <w:rsid w:val="006E4806"/>
    <w:rsid w:val="006E50A0"/>
    <w:rsid w:val="006E5218"/>
    <w:rsid w:val="006F143C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451"/>
    <w:rsid w:val="007D2A9A"/>
    <w:rsid w:val="007D385F"/>
    <w:rsid w:val="007D7B78"/>
    <w:rsid w:val="007E0AA7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709C7"/>
    <w:rsid w:val="0087132B"/>
    <w:rsid w:val="00875299"/>
    <w:rsid w:val="00881F86"/>
    <w:rsid w:val="008C62D3"/>
    <w:rsid w:val="008C7F09"/>
    <w:rsid w:val="008D044C"/>
    <w:rsid w:val="008F495F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634AA"/>
    <w:rsid w:val="009831A6"/>
    <w:rsid w:val="009865C6"/>
    <w:rsid w:val="0099723A"/>
    <w:rsid w:val="009A6F94"/>
    <w:rsid w:val="009C2E84"/>
    <w:rsid w:val="009C38A1"/>
    <w:rsid w:val="009C5757"/>
    <w:rsid w:val="009E1060"/>
    <w:rsid w:val="009F0679"/>
    <w:rsid w:val="00A04B84"/>
    <w:rsid w:val="00A15478"/>
    <w:rsid w:val="00A36E09"/>
    <w:rsid w:val="00A464A7"/>
    <w:rsid w:val="00A47826"/>
    <w:rsid w:val="00A7461C"/>
    <w:rsid w:val="00A81E13"/>
    <w:rsid w:val="00A92484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46884"/>
    <w:rsid w:val="00B515FA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2FD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2231"/>
    <w:rsid w:val="00E6347F"/>
    <w:rsid w:val="00E65527"/>
    <w:rsid w:val="00E70E40"/>
    <w:rsid w:val="00E73615"/>
    <w:rsid w:val="00E81639"/>
    <w:rsid w:val="00E82037"/>
    <w:rsid w:val="00E83A2D"/>
    <w:rsid w:val="00E91ACE"/>
    <w:rsid w:val="00E94D75"/>
    <w:rsid w:val="00E964DF"/>
    <w:rsid w:val="00EA1150"/>
    <w:rsid w:val="00EB1CA8"/>
    <w:rsid w:val="00EB2ACF"/>
    <w:rsid w:val="00EC16AA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53C68"/>
    <w:rsid w:val="00F6066F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B3A1D"/>
    <w:rsid w:val="00FF18B6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31</TotalTime>
  <Pages>1</Pages>
  <Words>457</Words>
  <Characters>2516</Characters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2968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2022-12-08T14:56:00Z</dcterms:created>
  <dcterms:modified xsi:type="dcterms:W3CDTF">2024-03-04T08:51:00Z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