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0BE9" w14:textId="77777777" w:rsidR="00D30A63" w:rsidRDefault="001561C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Fiche sujet – candidat (1/3) </w:t>
      </w:r>
    </w:p>
    <w:tbl>
      <w:tblPr>
        <w:tblW w:w="154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451"/>
      </w:tblGrid>
      <w:tr w:rsidR="00D30A63" w14:paraId="24D4E399" w14:textId="77777777">
        <w:trPr>
          <w:trHeight w:val="466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98D29E" w14:textId="77777777" w:rsidR="00D30A63" w:rsidRDefault="001561C7">
            <w:pPr>
              <w:widowControl w:val="0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Contexte</w:t>
            </w:r>
          </w:p>
        </w:tc>
      </w:tr>
      <w:tr w:rsidR="00D30A63" w14:paraId="3E5E7E8E" w14:textId="77777777"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CBB78" w14:textId="579D8C30" w:rsidR="00D30A63" w:rsidRDefault="001561C7" w:rsidP="00D26112">
            <w:pPr>
              <w:widowControl w:val="0"/>
              <w:spacing w:before="120" w:after="120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Les ophiolites</w:t>
            </w:r>
            <w:r w:rsidR="00D4002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présentes au sein de la chaîne des Alpes</w:t>
            </w:r>
            <w:r w:rsidR="00D4002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sont des portions de lithosphère océanique témoignant de l’histoire de deux océans aujourd’hui fermés : l’océan Rhéique (au Paléozoïque) et l’océan alpin (au Mésozoïque/Cénozoïque).</w:t>
            </w:r>
            <w:r w:rsidR="00D4002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Par ailleurs, certaines de ces ophiolites sont la conséquence d’une subduction et d’autres sont la conséquence d’une obduction.</w:t>
            </w:r>
            <w:r w:rsidR="00D4002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Un laboratoire de SVT possède deux échantillons de métagabbros prélevés dans deux ophiolites différentes de la chaîne des Alpes. </w:t>
            </w:r>
          </w:p>
          <w:p w14:paraId="2850C9E8" w14:textId="16438EF7" w:rsidR="00D30A63" w:rsidRDefault="001561C7" w:rsidP="00D4002A">
            <w:pPr>
              <w:widowControl w:val="0"/>
              <w:spacing w:after="120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On cherche à déterminer, par une étude minéralogique, </w:t>
            </w:r>
            <w:r w:rsidR="00D4002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s’il est possible d’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utiliser ces deux échantillons de métagabbros pour illustrer les mécanismes de formation des ophiolites, subduction et obduction, dans le cadre </w:t>
            </w:r>
            <w:r w:rsidR="00211A7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d’un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cours sur l’histoire de </w:t>
            </w:r>
            <w:r w:rsidR="00211A7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l’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océan alpin.</w:t>
            </w:r>
          </w:p>
        </w:tc>
      </w:tr>
      <w:tr w:rsidR="00D30A63" w14:paraId="4577A892" w14:textId="77777777">
        <w:trPr>
          <w:trHeight w:val="447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29ED0B" w14:textId="77777777" w:rsidR="00D30A63" w:rsidRDefault="001561C7">
            <w:pPr>
              <w:widowControl w:val="0"/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D30A63" w14:paraId="57FE67EF" w14:textId="77777777">
        <w:trPr>
          <w:trHeight w:val="447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8AC042" w14:textId="77777777" w:rsidR="00D30A63" w:rsidRDefault="001561C7">
            <w:pPr>
              <w:widowControl w:val="0"/>
              <w:snapToGrid w:val="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shd w:val="clear" w:color="auto" w:fill="F2F2F2"/>
              </w:rPr>
              <w:t xml:space="preserve">Partie A : Appropriation du contexte, proposition d’une stratégie et activité pratique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(durée recommandée : 40 minutes)</w:t>
            </w:r>
          </w:p>
        </w:tc>
      </w:tr>
      <w:tr w:rsidR="00D30A63" w14:paraId="0FD0F48F" w14:textId="77777777">
        <w:trPr>
          <w:trHeight w:val="447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6325C" w14:textId="3510C4E4" w:rsidR="00D30A63" w:rsidRDefault="001561C7">
            <w:pPr>
              <w:widowControl w:val="0"/>
              <w:snapToGrid w:val="0"/>
              <w:spacing w:before="120"/>
              <w:jc w:val="lef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Élaborer une stratégie de résolution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afin de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déterminer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si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les deux échantillons de métagabbros présents au laboratoire permettent d’illustrer les deux mécanismes à l’origine des ophiolites</w:t>
            </w:r>
            <w:r w:rsidR="00504BB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et si elles se sont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formées au cours de l’histoire de l’océan alpin</w:t>
            </w:r>
            <w:r w:rsidR="00504BB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et non au cours de l’histoire de l’océan </w:t>
            </w:r>
            <w:proofErr w:type="spellStart"/>
            <w:r w:rsidR="00504BB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Rhéique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  <w:p w14:paraId="7B26DAE5" w14:textId="77777777" w:rsidR="00D30A63" w:rsidRDefault="00D30A63">
            <w:pPr>
              <w:widowControl w:val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CA87D7A" w14:textId="77777777" w:rsidR="00D30A63" w:rsidRDefault="001561C7">
            <w:pPr>
              <w:widowControl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06E27595" w14:textId="77777777" w:rsidR="00D30A63" w:rsidRDefault="00D30A63">
            <w:pPr>
              <w:widowControl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C59AD0" w14:textId="77777777" w:rsidR="00D30A63" w:rsidRDefault="001561C7">
            <w:pPr>
              <w:widowControl w:val="0"/>
              <w:snapToGrid w:val="0"/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D30A63" w14:paraId="41F31FE6" w14:textId="77777777">
        <w:trPr>
          <w:trHeight w:val="447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42C101" w14:textId="77777777" w:rsidR="00D30A63" w:rsidRDefault="001561C7">
            <w:pPr>
              <w:widowControl w:val="0"/>
              <w:snapToGrid w:val="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Partie B : Présentation et interprétation des résultats ; conclusion (durée recommandée : 20 min)</w:t>
            </w:r>
          </w:p>
        </w:tc>
      </w:tr>
      <w:tr w:rsidR="00D30A63" w14:paraId="4518EFE7" w14:textId="77777777">
        <w:trPr>
          <w:trHeight w:val="447"/>
        </w:trPr>
        <w:tc>
          <w:tcPr>
            <w:tcW w:w="1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A0E9" w14:textId="77777777" w:rsidR="00D30A63" w:rsidRDefault="001561C7">
            <w:pPr>
              <w:widowControl w:val="0"/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9F8C2C3" w14:textId="77777777" w:rsidR="00D30A63" w:rsidRDefault="00D30A63">
            <w:pPr>
              <w:widowControl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754B4EB" w14:textId="77777777" w:rsidR="00D30A63" w:rsidRPr="00504BB3" w:rsidRDefault="001561C7">
            <w:pPr>
              <w:widowControl w:val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vérification de votre production </w:t>
            </w:r>
            <w:r w:rsidRPr="00504BB3">
              <w:rPr>
                <w:rFonts w:ascii="Arial" w:hAnsi="Arial" w:cs="Arial"/>
                <w:bCs/>
                <w:i/>
                <w:sz w:val="24"/>
                <w:szCs w:val="24"/>
              </w:rPr>
              <w:t>et obtenir la ressource complémentaire.</w:t>
            </w:r>
          </w:p>
          <w:p w14:paraId="57AD5B6F" w14:textId="77777777" w:rsidR="00D30A63" w:rsidRDefault="00D30A63">
            <w:pPr>
              <w:widowControl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0F3A27E3" w14:textId="052D40D6" w:rsidR="00D30A63" w:rsidRPr="00B057D9" w:rsidRDefault="001561C7" w:rsidP="00B057D9">
            <w:pPr>
              <w:widowControl w:val="0"/>
              <w:snapToGrid w:val="0"/>
              <w:spacing w:after="120"/>
              <w:jc w:val="left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sz w:val="24"/>
                <w:szCs w:val="24"/>
              </w:rPr>
              <w:t xml:space="preserve">, à partir de l’ensemble des données, </w:t>
            </w:r>
            <w:r w:rsidR="00211A73" w:rsidRPr="00211A7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s’il est possible d’utiliser ces deux échantillons de métagabbros pour illustrer les mécanismes de formation des ophiolites, subduction et obduction, dans le cadre d’un cours sur l’histoire de l’océan alpin.</w:t>
            </w:r>
          </w:p>
        </w:tc>
      </w:tr>
    </w:tbl>
    <w:p w14:paraId="68B852D9" w14:textId="77777777" w:rsidR="00D30A63" w:rsidRDefault="001561C7">
      <w:pPr>
        <w:jc w:val="left"/>
        <w:rPr>
          <w:rFonts w:ascii="Arial" w:hAnsi="Arial" w:cs="Arial"/>
          <w:sz w:val="24"/>
          <w:szCs w:val="24"/>
        </w:rPr>
      </w:pPr>
      <w:r>
        <w:br w:type="page"/>
      </w:r>
    </w:p>
    <w:p w14:paraId="342B2563" w14:textId="77777777" w:rsidR="00D30A63" w:rsidRDefault="001561C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(2/3) </w:t>
      </w:r>
    </w:p>
    <w:tbl>
      <w:tblPr>
        <w:tblW w:w="155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32"/>
        <w:gridCol w:w="10629"/>
      </w:tblGrid>
      <w:tr w:rsidR="00D30A63" w14:paraId="79F857EF" w14:textId="77777777">
        <w:tc>
          <w:tcPr>
            <w:tcW w:w="15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6174A" w14:textId="77777777" w:rsidR="00D30A63" w:rsidRDefault="001561C7">
            <w:pPr>
              <w:widowControl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Matériel et protocole d'utilisation du matériel</w:t>
            </w:r>
          </w:p>
        </w:tc>
      </w:tr>
      <w:tr w:rsidR="00D30A63" w14:paraId="661DB27A" w14:textId="77777777" w:rsidTr="004A0BF7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54F3" w14:textId="77777777" w:rsidR="00D30A63" w:rsidRDefault="001561C7" w:rsidP="00D26112">
            <w:pPr>
              <w:pStyle w:val="Corpsdetexte"/>
              <w:widowControl w:val="0"/>
              <w:spacing w:before="120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Matériel :</w:t>
            </w:r>
          </w:p>
          <w:p w14:paraId="3ED102EB" w14:textId="43022993" w:rsidR="00D30A63" w:rsidRDefault="001561C7" w:rsidP="00211A73">
            <w:pPr>
              <w:pStyle w:val="NormalWeb"/>
              <w:widowControl w:val="0"/>
              <w:spacing w:before="0" w:after="120"/>
              <w:ind w:left="467" w:right="143" w:hanging="283"/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- </w:t>
            </w:r>
            <w:r w:rsidR="00D26112">
              <w:rPr>
                <w:rFonts w:ascii="Arial" w:hAnsi="Arial" w:cs="Arial"/>
                <w:color w:val="000000"/>
              </w:rPr>
              <w:t>l</w:t>
            </w:r>
            <w:r>
              <w:rPr>
                <w:rFonts w:ascii="Arial" w:hAnsi="Arial" w:cs="Arial"/>
                <w:color w:val="000000"/>
              </w:rPr>
              <w:t xml:space="preserve">ames minces de </w:t>
            </w:r>
            <w:r>
              <w:rPr>
                <w:rFonts w:ascii="Arial" w:eastAsia="Arial" w:hAnsi="Arial" w:cs="Arial"/>
                <w:color w:val="000000"/>
              </w:rPr>
              <w:t>métagabbros</w:t>
            </w:r>
            <w:r>
              <w:rPr>
                <w:rFonts w:ascii="Arial" w:hAnsi="Arial" w:cs="Arial"/>
                <w:bCs/>
                <w:color w:val="000000"/>
              </w:rPr>
              <w:t xml:space="preserve"> prélevés à deux endroits différents dans les Alpes</w:t>
            </w:r>
            <w:r>
              <w:rPr>
                <w:rFonts w:ascii="Arial" w:eastAsia="Arial" w:hAnsi="Arial" w:cs="Arial"/>
                <w:color w:val="000000"/>
              </w:rPr>
              <w:t> ;</w:t>
            </w:r>
          </w:p>
          <w:p w14:paraId="01B75844" w14:textId="6F13B638" w:rsidR="00D30A63" w:rsidRDefault="001561C7" w:rsidP="00211A73">
            <w:pPr>
              <w:pStyle w:val="Corpsdetexte"/>
              <w:widowControl w:val="0"/>
              <w:ind w:left="467" w:hanging="283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="00D26112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icroscope polarisant ;</w:t>
            </w:r>
          </w:p>
          <w:p w14:paraId="1DF9368C" w14:textId="72E96631" w:rsidR="00D30A63" w:rsidRPr="004A0BF7" w:rsidRDefault="001561C7" w:rsidP="004A0BF7">
            <w:pPr>
              <w:pStyle w:val="Corpsdetexte"/>
              <w:widowControl w:val="0"/>
              <w:ind w:left="467" w:hanging="283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- </w:t>
            </w:r>
            <w:r w:rsidR="00D26112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lanche d'identification des minéraux à l’œil nu et au microscope polarisant (LPA et LPNA).</w:t>
            </w:r>
          </w:p>
        </w:tc>
        <w:tc>
          <w:tcPr>
            <w:tcW w:w="10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E6EF9" w14:textId="388939A5" w:rsidR="00D30A63" w:rsidRPr="00C24D64" w:rsidRDefault="001561C7">
            <w:pPr>
              <w:widowControl w:val="0"/>
              <w:spacing w:before="120" w:after="160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Afin de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déterminer si </w:t>
            </w:r>
            <w:r w:rsidR="00C24D64" w:rsidRPr="00C24D6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les deux échantillons de métagabbros présents au laboratoire permettent d’illustrer les deux mécanismes à l’origine des ophiolites </w:t>
            </w:r>
            <w:r w:rsidR="00C24D6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44860FEC" w14:textId="126926DF" w:rsidR="00D30A63" w:rsidRPr="004A0BF7" w:rsidRDefault="001561C7" w:rsidP="004A0BF7">
            <w:pPr>
              <w:widowControl w:val="0"/>
              <w:spacing w:before="120" w:after="16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- </w:t>
            </w:r>
            <w:r w:rsidR="00D26112"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bserver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des lames minces au microscope polarisant</w:t>
            </w:r>
            <w:r w:rsidR="00D2611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</w:tbl>
    <w:p w14:paraId="1C54DD78" w14:textId="77777777" w:rsidR="00D30A63" w:rsidRDefault="001561C7">
      <w:pPr>
        <w:jc w:val="left"/>
        <w:rPr>
          <w:rFonts w:ascii="Arial" w:hAnsi="Arial" w:cs="Arial"/>
          <w:sz w:val="24"/>
          <w:szCs w:val="24"/>
        </w:rPr>
      </w:pPr>
      <w:r>
        <w:br w:type="page"/>
      </w:r>
    </w:p>
    <w:p w14:paraId="7EC114B0" w14:textId="77777777" w:rsidR="00D30A63" w:rsidRDefault="00D30A63">
      <w:pPr>
        <w:jc w:val="right"/>
        <w:rPr>
          <w:rFonts w:ascii="Arial" w:hAnsi="Arial" w:cs="Arial"/>
          <w:sz w:val="24"/>
          <w:szCs w:val="24"/>
        </w:rPr>
      </w:pPr>
    </w:p>
    <w:p w14:paraId="5043AACF" w14:textId="77777777" w:rsidR="00D30A63" w:rsidRDefault="001561C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Fiche sujet – candidat (3/3) </w:t>
      </w:r>
    </w:p>
    <w:tbl>
      <w:tblPr>
        <w:tblStyle w:val="TableGrid"/>
        <w:tblW w:w="15269" w:type="dxa"/>
        <w:jc w:val="center"/>
        <w:tblInd w:w="0" w:type="dxa"/>
        <w:tblLayout w:type="fixed"/>
        <w:tblCellMar>
          <w:top w:w="5" w:type="dxa"/>
          <w:left w:w="106" w:type="dxa"/>
          <w:bottom w:w="8" w:type="dxa"/>
          <w:right w:w="5" w:type="dxa"/>
        </w:tblCellMar>
        <w:tblLook w:val="04A0" w:firstRow="1" w:lastRow="0" w:firstColumn="1" w:lastColumn="0" w:noHBand="0" w:noVBand="1"/>
      </w:tblPr>
      <w:tblGrid>
        <w:gridCol w:w="7365"/>
        <w:gridCol w:w="7904"/>
      </w:tblGrid>
      <w:tr w:rsidR="00D30A63" w14:paraId="4C75D168" w14:textId="77777777">
        <w:trPr>
          <w:trHeight w:val="285"/>
          <w:jc w:val="center"/>
        </w:trPr>
        <w:tc>
          <w:tcPr>
            <w:tcW w:w="1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FC9F3D" w14:textId="77777777" w:rsidR="00D30A63" w:rsidRDefault="001561C7">
            <w:pPr>
              <w:spacing w:before="120" w:after="120"/>
              <w:ind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Ressources</w:t>
            </w:r>
          </w:p>
        </w:tc>
      </w:tr>
      <w:tr w:rsidR="00D30A63" w14:paraId="79B5B156" w14:textId="77777777">
        <w:trPr>
          <w:trHeight w:val="20"/>
          <w:jc w:val="center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7259" w14:textId="213C0F90" w:rsidR="00D30A63" w:rsidRDefault="001561C7" w:rsidP="00D26112">
            <w:pPr>
              <w:spacing w:before="120" w:after="120"/>
              <w:jc w:val="left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Deux métamorphismes différents</w:t>
            </w:r>
            <w:r w:rsidR="00D261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:</w:t>
            </w:r>
          </w:p>
          <w:p w14:paraId="2302ABEE" w14:textId="77777777" w:rsidR="00D30A63" w:rsidRDefault="001561C7">
            <w:pPr>
              <w:jc w:val="left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Lorsqu'une roche est soumise à des conditions de pression et de température différentes de celles qui existaient lors de sa formation, on observe des transformations minéralogiques et structurales qui se produisent sans fusion partielle : c'est le </w:t>
            </w:r>
            <w:r w:rsidRPr="00D4002A">
              <w:rPr>
                <w:rFonts w:ascii="Arial" w:hAnsi="Arial" w:cs="Arial"/>
                <w:b/>
                <w:color w:val="000000"/>
                <w:sz w:val="24"/>
                <w:szCs w:val="24"/>
              </w:rPr>
              <w:t>métamorphisme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88A9D02" w14:textId="3D9F25E3" w:rsidR="00D30A63" w:rsidRDefault="001561C7">
            <w:pPr>
              <w:spacing w:before="12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Lors de l’expansion océanique, la lithosphère océanique subit un métamorphisme de basse pression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 xml:space="preserve"> (BP)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et de basse température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BT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 xml:space="preserve">). Voir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trajet A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665DF">
              <w:rPr>
                <w:rFonts w:ascii="Arial" w:hAnsi="Arial" w:cs="Arial"/>
                <w:color w:val="000000"/>
                <w:sz w:val="24"/>
                <w:szCs w:val="24"/>
              </w:rPr>
              <w:t>ci-contre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38B61D82" w14:textId="77777777" w:rsidR="00D30A63" w:rsidRDefault="001561C7">
            <w:pPr>
              <w:spacing w:before="120"/>
              <w:jc w:val="left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</w:t>
            </w:r>
            <w:r w:rsidRPr="00D26112">
              <w:rPr>
                <w:rFonts w:ascii="Arial" w:hAnsi="Arial" w:cs="Arial"/>
                <w:color w:val="000000"/>
                <w:sz w:val="24"/>
                <w:szCs w:val="24"/>
              </w:rPr>
              <w:t>En cas d’</w:t>
            </w:r>
            <w:r w:rsidRPr="00D261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obduction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cette lithosphère océanique métamorphisée BP-BT sera transportée sur la lithosphère continentale sans subir de modifications de pression ni de température et se retrouvera en surface.</w:t>
            </w:r>
          </w:p>
          <w:p w14:paraId="3D96DE84" w14:textId="569F7D11" w:rsidR="00D30A63" w:rsidRDefault="001561C7" w:rsidP="00D26112">
            <w:pPr>
              <w:snapToGrid w:val="0"/>
              <w:spacing w:before="120" w:after="120"/>
              <w:jc w:val="left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</w:t>
            </w:r>
            <w:r>
              <w:rPr>
                <w:rFonts w:ascii="Arial" w:hAnsi="Arial" w:cs="Arial"/>
                <w:color w:val="000000"/>
                <w:sz w:val="24"/>
                <w:szCs w:val="24"/>
                <w:u w:val="single"/>
              </w:rPr>
              <w:t xml:space="preserve">En cas de </w:t>
            </w:r>
            <w:r w:rsidRPr="00D2611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subduction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cette lithosphère océanique métamorphisée BP-BT plongera dans l’asthénosphère où elle sera soumise à un métamorphisme de haute pression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 xml:space="preserve"> (HP)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et basse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température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>BT</w:t>
            </w:r>
            <w:r w:rsidR="00D4002A">
              <w:rPr>
                <w:rFonts w:ascii="Arial" w:hAnsi="Arial" w:cs="Arial"/>
                <w:color w:val="000000"/>
                <w:sz w:val="24"/>
                <w:szCs w:val="24"/>
              </w:rPr>
              <w:t xml:space="preserve">) Voir trajet B </w:t>
            </w:r>
            <w:r w:rsidR="00F665DF">
              <w:rPr>
                <w:rFonts w:ascii="Arial" w:hAnsi="Arial" w:cs="Arial"/>
                <w:color w:val="000000"/>
                <w:sz w:val="24"/>
                <w:szCs w:val="24"/>
              </w:rPr>
              <w:t>ci-contre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 Si elle est exhumée, elle se retrouvera en surface.</w:t>
            </w:r>
          </w:p>
          <w:p w14:paraId="5FE34312" w14:textId="77777777" w:rsidR="00D30A63" w:rsidRDefault="00D30A6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C90F091" w14:textId="77777777" w:rsidR="00D30A63" w:rsidRDefault="00D30A6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F69BB26" w14:textId="77777777" w:rsidR="00D30A63" w:rsidRDefault="00D30A6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7DCB" w14:textId="2313B4DA" w:rsidR="00D30A63" w:rsidRDefault="001561C7">
            <w:pPr>
              <w:spacing w:before="12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Diagramme pression – température indiquant les domaines de stabilité des différents minéraux en fonction des conditions de température et de pression et les faciès métamorphiques associés</w:t>
            </w:r>
            <w:r w:rsidR="00D261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:</w:t>
            </w:r>
          </w:p>
          <w:p w14:paraId="114E08D6" w14:textId="77777777" w:rsidR="00D30A63" w:rsidRDefault="001561C7">
            <w:pPr>
              <w:pStyle w:val="Corpsdetexte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09D78B8" wp14:editId="742CF099">
                  <wp:extent cx="4791710" cy="397764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1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397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6127E7" w14:textId="77777777" w:rsidR="00D30A63" w:rsidRDefault="00D30A63">
      <w:pPr>
        <w:jc w:val="left"/>
        <w:rPr>
          <w:rFonts w:ascii="Arial" w:hAnsi="Arial" w:cs="Arial"/>
          <w:sz w:val="24"/>
          <w:szCs w:val="24"/>
        </w:rPr>
      </w:pPr>
    </w:p>
    <w:p w14:paraId="0C44A5E8" w14:textId="77777777" w:rsidR="00D30A63" w:rsidRDefault="00D30A63">
      <w:pPr>
        <w:jc w:val="left"/>
        <w:rPr>
          <w:rFonts w:ascii="Arial" w:hAnsi="Arial" w:cs="Arial"/>
          <w:sz w:val="24"/>
          <w:szCs w:val="24"/>
        </w:rPr>
      </w:pPr>
    </w:p>
    <w:sectPr w:rsidR="00D30A63" w:rsidSect="00BF096D">
      <w:headerReference w:type="default" r:id="rId8"/>
      <w:pgSz w:w="16838" w:h="11906" w:orient="landscape"/>
      <w:pgMar w:top="720" w:right="720" w:bottom="720" w:left="720" w:header="567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2BA9" w14:textId="77777777" w:rsidR="00BF096D" w:rsidRDefault="00BF096D">
      <w:r>
        <w:separator/>
      </w:r>
    </w:p>
  </w:endnote>
  <w:endnote w:type="continuationSeparator" w:id="0">
    <w:p w14:paraId="10AF7444" w14:textId="77777777" w:rsidR="00BF096D" w:rsidRDefault="00BF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Noto Sans Devanagari">
    <w:altName w:val="Noto Naskh Arabic"/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C6323" w14:textId="77777777" w:rsidR="00BF096D" w:rsidRDefault="00BF096D">
      <w:r>
        <w:separator/>
      </w:r>
    </w:p>
  </w:footnote>
  <w:footnote w:type="continuationSeparator" w:id="0">
    <w:p w14:paraId="552E6C2F" w14:textId="77777777" w:rsidR="00BF096D" w:rsidRDefault="00BF0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45AA" w14:textId="77777777" w:rsidR="00D30A63" w:rsidRDefault="001561C7">
    <w:pPr>
      <w:pStyle w:val="En-tte"/>
      <w:shd w:val="clear" w:color="auto" w:fill="FFFFFF"/>
      <w:rPr>
        <w:rFonts w:ascii="Arial" w:hAnsi="Arial" w:cs="Arial"/>
        <w:b/>
        <w:sz w:val="24"/>
        <w:szCs w:val="24"/>
        <w:shd w:val="clear" w:color="auto" w:fill="FFFFFF"/>
      </w:rPr>
    </w:pPr>
    <w:r>
      <w:rPr>
        <w:rFonts w:ascii="Arial" w:hAnsi="Arial" w:cs="Arial"/>
        <w:b/>
        <w:sz w:val="24"/>
        <w:szCs w:val="24"/>
        <w:shd w:val="clear" w:color="auto" w:fill="FFFFFF"/>
      </w:rPr>
      <w:t>Des roches océaniques dans les Alpes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A3F69"/>
    <w:multiLevelType w:val="multilevel"/>
    <w:tmpl w:val="A3ECFF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1C396A"/>
    <w:multiLevelType w:val="multilevel"/>
    <w:tmpl w:val="97C86E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10096028">
    <w:abstractNumId w:val="1"/>
  </w:num>
  <w:num w:numId="2" w16cid:durableId="1254242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A63"/>
    <w:rsid w:val="00094631"/>
    <w:rsid w:val="001561C7"/>
    <w:rsid w:val="00211A73"/>
    <w:rsid w:val="00265CC3"/>
    <w:rsid w:val="004A0BF7"/>
    <w:rsid w:val="00504BB3"/>
    <w:rsid w:val="00A2278A"/>
    <w:rsid w:val="00AA6B0A"/>
    <w:rsid w:val="00B057D9"/>
    <w:rsid w:val="00BC5CAF"/>
    <w:rsid w:val="00BF096D"/>
    <w:rsid w:val="00C24D64"/>
    <w:rsid w:val="00D26112"/>
    <w:rsid w:val="00D30A63"/>
    <w:rsid w:val="00D4002A"/>
    <w:rsid w:val="00DB142D"/>
    <w:rsid w:val="00E35C9F"/>
    <w:rsid w:val="00E92DB9"/>
    <w:rsid w:val="00F03E6C"/>
    <w:rsid w:val="00F6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1DC8"/>
  <w15:docId w15:val="{68DF3A6F-9609-8B43-9D6C-80D4FB9B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0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semiHidden="1" w:uiPriority="66" w:unhideWhenUsed="1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ar-SA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1z1">
    <w:name w:val="WW8Num1z1"/>
    <w:qFormat/>
    <w:rPr>
      <w:rFonts w:ascii="Courier New" w:hAnsi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3z0">
    <w:name w:val="WW8Num3z0"/>
    <w:qFormat/>
    <w:rPr>
      <w:rFonts w:ascii="Calibri" w:eastAsia="Times New Roman" w:hAnsi="Calibri"/>
    </w:rPr>
  </w:style>
  <w:style w:type="character" w:customStyle="1" w:styleId="WW8Num3z1">
    <w:name w:val="WW8Num3z1"/>
    <w:qFormat/>
    <w:rPr>
      <w:rFonts w:ascii="Courier New" w:hAnsi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Symbol" w:hAnsi="Symbol"/>
      <w:sz w:val="20"/>
    </w:rPr>
  </w:style>
  <w:style w:type="character" w:customStyle="1" w:styleId="WW8Num4z1">
    <w:name w:val="WW8Num4z1"/>
    <w:qFormat/>
    <w:rPr>
      <w:rFonts w:ascii="Courier New" w:hAnsi="Courier New"/>
      <w:sz w:val="20"/>
    </w:rPr>
  </w:style>
  <w:style w:type="character" w:customStyle="1" w:styleId="WW8Num4z2">
    <w:name w:val="WW8Num4z2"/>
    <w:qFormat/>
    <w:rPr>
      <w:rFonts w:ascii="Wingdings" w:hAnsi="Wingdings"/>
      <w:sz w:val="20"/>
    </w:rPr>
  </w:style>
  <w:style w:type="character" w:customStyle="1" w:styleId="WW8Num5z0">
    <w:name w:val="WW8Num5z0"/>
    <w:qFormat/>
    <w:rPr>
      <w:rFonts w:ascii="Arial" w:hAnsi="Arial" w:cs="Arial"/>
      <w:b/>
      <w:bCs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  <w:b/>
      <w:bCs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  <w:b/>
      <w:bCs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ascii="Calibri" w:eastAsia="Times New Roman" w:hAnsi="Calibri"/>
    </w:rPr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8Num12z2">
    <w:name w:val="WW8Num12z2"/>
    <w:qFormat/>
    <w:rPr>
      <w:rFonts w:ascii="Wingdings" w:hAnsi="Wingdings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3z0">
    <w:name w:val="WW8Num13z0"/>
    <w:qFormat/>
    <w:rPr>
      <w:rFonts w:ascii="Symbol" w:hAnsi="Symbol"/>
      <w:sz w:val="20"/>
    </w:rPr>
  </w:style>
  <w:style w:type="character" w:customStyle="1" w:styleId="WW8Num13z1">
    <w:name w:val="WW8Num13z1"/>
    <w:qFormat/>
    <w:rPr>
      <w:rFonts w:ascii="Courier New" w:hAnsi="Courier New"/>
      <w:sz w:val="20"/>
    </w:rPr>
  </w:style>
  <w:style w:type="character" w:customStyle="1" w:styleId="WW8Num13z2">
    <w:name w:val="WW8Num13z2"/>
    <w:qFormat/>
    <w:rPr>
      <w:rFonts w:ascii="Wingdings" w:hAnsi="Wingdings"/>
      <w:sz w:val="20"/>
    </w:rPr>
  </w:style>
  <w:style w:type="character" w:customStyle="1" w:styleId="WW8Num14z0">
    <w:name w:val="WW8Num14z0"/>
    <w:qFormat/>
    <w:rPr>
      <w:rFonts w:ascii="Arial" w:hAnsi="Arial" w:cs="Arial"/>
      <w:b/>
      <w:bCs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rFonts w:ascii="Calibri" w:eastAsia="Times New Roman" w:hAnsi="Calibri"/>
    </w:rPr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WW8Num19z0">
    <w:name w:val="WW8Num19z0"/>
    <w:qFormat/>
    <w:rPr>
      <w:rFonts w:ascii="Symbol" w:hAnsi="Symbol"/>
      <w:sz w:val="20"/>
    </w:rPr>
  </w:style>
  <w:style w:type="character" w:customStyle="1" w:styleId="WW8Num19z1">
    <w:name w:val="WW8Num19z1"/>
    <w:qFormat/>
    <w:rPr>
      <w:rFonts w:ascii="Courier New" w:hAnsi="Courier New"/>
      <w:sz w:val="20"/>
    </w:rPr>
  </w:style>
  <w:style w:type="character" w:customStyle="1" w:styleId="WW8Num19z2">
    <w:name w:val="WW8Num19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Calibri" w:eastAsia="Times New Roman" w:hAnsi="Calibri"/>
    </w:rPr>
  </w:style>
  <w:style w:type="character" w:customStyle="1" w:styleId="WW8Num20z1">
    <w:name w:val="WW8Num20z1"/>
    <w:qFormat/>
    <w:rPr>
      <w:rFonts w:ascii="Courier New" w:hAnsi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0z3">
    <w:name w:val="WW8Num20z3"/>
    <w:qFormat/>
    <w:rPr>
      <w:rFonts w:ascii="Symbol" w:hAnsi="Symbol"/>
    </w:rPr>
  </w:style>
  <w:style w:type="character" w:customStyle="1" w:styleId="WW8Num21z0">
    <w:name w:val="WW8Num21z0"/>
    <w:qFormat/>
    <w:rPr>
      <w:rFonts w:ascii="Calibri" w:eastAsia="Times New Roman" w:hAnsi="Calibri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2">
    <w:name w:val="WW8Num21z2"/>
    <w:qFormat/>
    <w:rPr>
      <w:rFonts w:ascii="Wingdings" w:hAnsi="Wingdings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0">
    <w:name w:val="WW8Num22z0"/>
    <w:qFormat/>
    <w:rPr>
      <w:rFonts w:ascii="Symbol" w:hAnsi="Symbol"/>
    </w:rPr>
  </w:style>
  <w:style w:type="character" w:customStyle="1" w:styleId="WW8Num23z0">
    <w:name w:val="WW8Num23z0"/>
    <w:qFormat/>
    <w:rPr>
      <w:rFonts w:ascii="Calibri" w:eastAsia="Times New Roman" w:hAnsi="Calibri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2">
    <w:name w:val="WW8Num23z2"/>
    <w:qFormat/>
    <w:rPr>
      <w:rFonts w:ascii="Wingdings" w:hAnsi="Wingdings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Policepardfaut1">
    <w:name w:val="Police par défaut1"/>
    <w:qFormat/>
  </w:style>
  <w:style w:type="character" w:customStyle="1" w:styleId="Titre5Car">
    <w:name w:val="Titre 5 Car"/>
    <w:qFormat/>
    <w:rPr>
      <w:rFonts w:ascii="Cambria" w:hAnsi="Cambria" w:cs="Cambria"/>
      <w:color w:val="243F60"/>
    </w:rPr>
  </w:style>
  <w:style w:type="character" w:customStyle="1" w:styleId="Titre7Car">
    <w:name w:val="Titre 7 Car"/>
    <w:qFormat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qFormat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uiPriority w:val="99"/>
    <w:qFormat/>
    <w:rPr>
      <w:rFonts w:cs="Calibri"/>
    </w:rPr>
  </w:style>
  <w:style w:type="character" w:customStyle="1" w:styleId="PieddepageCar">
    <w:name w:val="Pied de page Car"/>
    <w:qFormat/>
    <w:rPr>
      <w:rFonts w:cs="Calibri"/>
    </w:rPr>
  </w:style>
  <w:style w:type="character" w:customStyle="1" w:styleId="TitreCar">
    <w:name w:val="Titre Car"/>
    <w:link w:val="Titre"/>
    <w:qFormat/>
    <w:rsid w:val="003F09CA"/>
    <w:rPr>
      <w:b/>
      <w:bCs/>
      <w:sz w:val="24"/>
      <w:szCs w:val="24"/>
      <w:lang w:eastAsia="ar-SA"/>
    </w:rPr>
  </w:style>
  <w:style w:type="character" w:customStyle="1" w:styleId="Sous-titreCar">
    <w:name w:val="Sous-titre Car"/>
    <w:link w:val="Sous-titre"/>
    <w:uiPriority w:val="11"/>
    <w:qFormat/>
    <w:rsid w:val="003F09C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Lienhypertextesuivivisit">
    <w:name w:val="FollowedHyperlink"/>
    <w:uiPriority w:val="99"/>
    <w:semiHidden/>
    <w:unhideWhenUsed/>
    <w:rsid w:val="00105D28"/>
    <w:rPr>
      <w:color w:val="800080"/>
      <w:u w:val="single"/>
    </w:rPr>
  </w:style>
  <w:style w:type="character" w:styleId="Marquedecommentaire">
    <w:name w:val="annotation reference"/>
    <w:uiPriority w:val="99"/>
    <w:semiHidden/>
    <w:unhideWhenUsed/>
    <w:qFormat/>
    <w:rsid w:val="00C47A7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C47A73"/>
    <w:rPr>
      <w:rFonts w:ascii="Calibri" w:eastAsia="Calibri" w:hAnsi="Calibri" w:cs="Calibri"/>
      <w:lang w:eastAsia="ar-SA"/>
    </w:rPr>
  </w:style>
  <w:style w:type="character" w:customStyle="1" w:styleId="ObjetducommentaireCar">
    <w:name w:val="Objet du commentaire Car"/>
    <w:link w:val="Objetducommentaire"/>
    <w:uiPriority w:val="99"/>
    <w:semiHidden/>
    <w:qFormat/>
    <w:rsid w:val="00C47A73"/>
    <w:rPr>
      <w:rFonts w:ascii="Calibri" w:eastAsia="Calibri" w:hAnsi="Calibri" w:cs="Calibri"/>
      <w:b/>
      <w:bCs/>
      <w:lang w:eastAsia="ar-SA"/>
    </w:rPr>
  </w:style>
  <w:style w:type="character" w:customStyle="1" w:styleId="WW8Num15z4">
    <w:name w:val="WW8Num15z4"/>
    <w:qFormat/>
    <w:rsid w:val="00AA2521"/>
  </w:style>
  <w:style w:type="character" w:styleId="Numrodeligne">
    <w:name w:val="line number"/>
  </w:style>
  <w:style w:type="paragraph" w:styleId="Titre">
    <w:name w:val="Title"/>
    <w:basedOn w:val="Normal"/>
    <w:next w:val="Sous-titre"/>
    <w:link w:val="TitreCar"/>
    <w:qFormat/>
    <w:rsid w:val="003F09CA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emoyenne2-Accent41">
    <w:name w:val="Liste moyenne 2 - Accent 41"/>
    <w:basedOn w:val="Normal"/>
    <w:qFormat/>
    <w:pPr>
      <w:ind w:left="720"/>
    </w:p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qFormat/>
    <w:rPr>
      <w:rFonts w:ascii="Times New Roman" w:eastAsia="Times New Roman" w:hAnsi="Times New Roman" w:cs="Times New Roman"/>
    </w:rPr>
  </w:style>
  <w:style w:type="paragraph" w:customStyle="1" w:styleId="Tramemoyenne1-Accent11">
    <w:name w:val="Trame moyenne 1 - Accent 11"/>
    <w:qFormat/>
    <w:pPr>
      <w:jc w:val="center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WW-Standard">
    <w:name w:val="WW-Standard"/>
    <w:qFormat/>
    <w:pPr>
      <w:widowControl w:val="0"/>
      <w:jc w:val="center"/>
    </w:pPr>
    <w:rPr>
      <w:rFonts w:ascii="Calibri" w:eastAsia="Calibri" w:hAnsi="Calibri" w:cs="Calibri"/>
      <w:kern w:val="2"/>
      <w:sz w:val="24"/>
      <w:szCs w:val="24"/>
      <w:lang w:val="de-DE" w:eastAsia="ar-S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09C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47A73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C47A73"/>
    <w:rPr>
      <w:b/>
      <w:bCs/>
    </w:rPr>
  </w:style>
  <w:style w:type="paragraph" w:customStyle="1" w:styleId="Tramecouleur-Accent31">
    <w:name w:val="Trame couleur - Accent 31"/>
    <w:basedOn w:val="Normal"/>
    <w:uiPriority w:val="34"/>
    <w:qFormat/>
    <w:rsid w:val="008E6176"/>
    <w:pPr>
      <w:spacing w:after="160" w:line="259" w:lineRule="auto"/>
      <w:ind w:left="720"/>
      <w:contextualSpacing/>
      <w:jc w:val="left"/>
    </w:pPr>
    <w:rPr>
      <w:rFonts w:cs="Times New Roman"/>
      <w:lang w:eastAsia="en-US"/>
    </w:rPr>
  </w:style>
  <w:style w:type="paragraph" w:customStyle="1" w:styleId="western">
    <w:name w:val="western"/>
    <w:basedOn w:val="Normal"/>
    <w:qFormat/>
    <w:rsid w:val="0015787C"/>
    <w:pPr>
      <w:spacing w:beforeAutospacing="1" w:after="119"/>
    </w:pPr>
    <w:rPr>
      <w:rFonts w:eastAsia="Times New Roman" w:cs="Times New Roman"/>
      <w:sz w:val="24"/>
      <w:szCs w:val="24"/>
      <w:lang w:eastAsia="fr-FR"/>
    </w:rPr>
  </w:style>
  <w:style w:type="paragraph" w:customStyle="1" w:styleId="Grillemoyenne1-Accent21">
    <w:name w:val="Grille moyenne 1 - Accent 21"/>
    <w:basedOn w:val="Normal"/>
    <w:uiPriority w:val="34"/>
    <w:qFormat/>
    <w:rsid w:val="00891947"/>
    <w:pPr>
      <w:spacing w:after="160" w:line="259" w:lineRule="auto"/>
      <w:ind w:left="720"/>
      <w:contextualSpacing/>
      <w:jc w:val="left"/>
    </w:pPr>
    <w:rPr>
      <w:rFonts w:cs="Times New Roman"/>
      <w:lang w:eastAsia="en-US"/>
    </w:rPr>
  </w:style>
  <w:style w:type="paragraph" w:styleId="Paragraphedeliste">
    <w:name w:val="List Paragraph"/>
    <w:basedOn w:val="Normal"/>
    <w:uiPriority w:val="1"/>
    <w:qFormat/>
    <w:rsid w:val="005A0A09"/>
    <w:pPr>
      <w:spacing w:after="160" w:line="254" w:lineRule="auto"/>
      <w:ind w:left="720"/>
      <w:contextualSpacing/>
      <w:jc w:val="left"/>
    </w:pPr>
    <w:rPr>
      <w:rFonts w:cs="Times New Roman"/>
      <w:lang w:eastAsia="zh-CN"/>
    </w:rPr>
  </w:style>
  <w:style w:type="paragraph" w:styleId="Rvision">
    <w:name w:val="Revision"/>
    <w:uiPriority w:val="99"/>
    <w:unhideWhenUsed/>
    <w:qFormat/>
    <w:rsid w:val="002C5327"/>
    <w:rPr>
      <w:rFonts w:ascii="Calibri" w:eastAsia="Calibri" w:hAnsi="Calibri" w:cs="Calibri"/>
      <w:sz w:val="22"/>
      <w:szCs w:val="22"/>
      <w:lang w:eastAsia="ar-SA"/>
    </w:rPr>
  </w:style>
  <w:style w:type="table" w:styleId="Grilledutableau">
    <w:name w:val="Table Grid"/>
    <w:basedOn w:val="TableauNormal"/>
    <w:uiPriority w:val="59"/>
    <w:rsid w:val="00827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A0A0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557</Words>
  <Characters>3064</Characters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Printed>2024-02-02T09:53:00Z</cp:lastPrinted>
  <dcterms:created xsi:type="dcterms:W3CDTF">2023-11-16T07:37:00Z</dcterms:created>
  <dcterms:modified xsi:type="dcterms:W3CDTF">2024-03-03T15:56:00Z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