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FC" w:rsidRPr="00FE67D5" w:rsidRDefault="00A16CFC" w:rsidP="00A16CFC">
      <w:pPr>
        <w:spacing w:after="240"/>
        <w:jc w:val="center"/>
        <w:rPr>
          <w:rFonts w:ascii="Arial" w:hAnsi="Arial" w:cs="Arial"/>
          <w:b/>
          <w:sz w:val="32"/>
        </w:rPr>
      </w:pPr>
      <w:r w:rsidRPr="00FE67D5">
        <w:rPr>
          <w:rFonts w:ascii="Arial" w:hAnsi="Arial" w:cs="Arial"/>
          <w:b/>
          <w:sz w:val="32"/>
        </w:rPr>
        <w:t>Tableau des indicateurs</w:t>
      </w:r>
    </w:p>
    <w:p w:rsidR="00A16CFC" w:rsidRDefault="00A16CFC" w:rsidP="00A16CFC">
      <w:pPr>
        <w:spacing w:after="240"/>
        <w:rPr>
          <w:rFonts w:ascii="Calibri" w:hAnsi="Calibri" w:cstheme="minorHAnsi"/>
        </w:rPr>
      </w:pPr>
      <w:r>
        <w:rPr>
          <w:rFonts w:cstheme="minorHAnsi"/>
        </w:rPr>
        <w:t xml:space="preserve">Les items sont formulés par </w:t>
      </w:r>
      <w:r>
        <w:rPr>
          <w:rFonts w:cstheme="minorHAnsi"/>
          <w:b/>
          <w:color w:val="FF0000"/>
        </w:rPr>
        <w:t>domaine d’évaluation</w:t>
      </w:r>
      <w:r>
        <w:rPr>
          <w:rFonts w:cstheme="minorHAnsi"/>
          <w:color w:val="FF0000"/>
        </w:rPr>
        <w:t xml:space="preserve"> </w:t>
      </w:r>
      <w:r>
        <w:rPr>
          <w:rFonts w:cstheme="minorHAnsi"/>
        </w:rPr>
        <w:t xml:space="preserve">et proposent des </w:t>
      </w:r>
      <w:r>
        <w:rPr>
          <w:rFonts w:cstheme="minorHAnsi"/>
          <w:b/>
          <w:color w:val="00B050"/>
        </w:rPr>
        <w:t>descripteurs gradués</w:t>
      </w:r>
      <w:r>
        <w:rPr>
          <w:rFonts w:cstheme="minorHAnsi"/>
          <w:color w:val="00B050"/>
        </w:rPr>
        <w:t xml:space="preserve"> </w:t>
      </w:r>
      <w:r>
        <w:rPr>
          <w:rFonts w:cstheme="minorHAnsi"/>
        </w:rPr>
        <w:t>pour guider les équipes éducatives. Le référencement par «</w:t>
      </w:r>
      <w:r w:rsidR="00593EAB">
        <w:rPr>
          <w:rFonts w:cstheme="minorHAnsi"/>
        </w:rPr>
        <w:t> </w:t>
      </w:r>
      <w:r>
        <w:rPr>
          <w:rFonts w:cstheme="minorHAnsi"/>
          <w:b/>
          <w:color w:val="7030A0"/>
        </w:rPr>
        <w:t>indicateurs</w:t>
      </w:r>
      <w:r w:rsidR="00593EAB">
        <w:rPr>
          <w:rFonts w:cstheme="minorHAnsi"/>
        </w:rPr>
        <w:t> </w:t>
      </w:r>
      <w:r>
        <w:rPr>
          <w:rFonts w:cstheme="minorHAnsi"/>
        </w:rPr>
        <w:t>» doit permettre aux équipes de conserver une vision globale d</w:t>
      </w:r>
      <w:bookmarkStart w:id="0" w:name="_GoBack"/>
      <w:bookmarkEnd w:id="0"/>
      <w:r>
        <w:rPr>
          <w:rFonts w:cstheme="minorHAnsi"/>
        </w:rPr>
        <w:t>es enjeux éducatifs. Enfin, l</w:t>
      </w:r>
      <w:r w:rsidR="00593EAB">
        <w:rPr>
          <w:rFonts w:cstheme="minorHAnsi"/>
        </w:rPr>
        <w:t>e</w:t>
      </w:r>
      <w:r>
        <w:rPr>
          <w:rFonts w:cstheme="minorHAnsi"/>
        </w:rPr>
        <w:t xml:space="preserve"> double regard – évaluation interne et externe – permet de placer la question de l’engagement et de la citoyenneté au cœur du dialogue entre les établissements scolaires et les autorités éducatives et de mieux valoriser le rayonnement éducatif des établissements à l’échelle territoriale.</w:t>
      </w:r>
    </w:p>
    <w:tbl>
      <w:tblPr>
        <w:tblStyle w:val="Grilledutableau"/>
        <w:tblW w:w="15304" w:type="dxa"/>
        <w:tblInd w:w="-289" w:type="dxa"/>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CellMar>
          <w:left w:w="57" w:type="dxa"/>
          <w:right w:w="57" w:type="dxa"/>
        </w:tblCellMar>
        <w:tblLook w:val="04A0" w:firstRow="1" w:lastRow="0" w:firstColumn="1" w:lastColumn="0" w:noHBand="0" w:noVBand="1"/>
      </w:tblPr>
      <w:tblGrid>
        <w:gridCol w:w="1413"/>
        <w:gridCol w:w="4116"/>
        <w:gridCol w:w="1275"/>
        <w:gridCol w:w="1276"/>
        <w:gridCol w:w="1276"/>
        <w:gridCol w:w="1276"/>
        <w:gridCol w:w="2404"/>
        <w:gridCol w:w="2268"/>
      </w:tblGrid>
      <w:tr w:rsidR="00A16CFC" w:rsidTr="00176FFA">
        <w:trPr>
          <w:tblHeader/>
        </w:trPr>
        <w:tc>
          <w:tcPr>
            <w:tcW w:w="1413" w:type="dxa"/>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Indicateurs</w:t>
            </w:r>
          </w:p>
        </w:tc>
        <w:tc>
          <w:tcPr>
            <w:tcW w:w="9219" w:type="dxa"/>
            <w:gridSpan w:val="5"/>
            <w:shd w:val="clear" w:color="auto" w:fill="FFFFFF" w:themeFill="background1"/>
            <w:vAlign w:val="center"/>
            <w:hideMark/>
          </w:tcPr>
          <w:p w:rsidR="00A16CFC" w:rsidRPr="006748EE" w:rsidRDefault="00A16CFC" w:rsidP="00593EAB">
            <w:pPr>
              <w:spacing w:before="60" w:after="60"/>
              <w:jc w:val="center"/>
              <w:rPr>
                <w:rFonts w:ascii="Arial" w:hAnsi="Arial" w:cs="Arial"/>
                <w:b/>
                <w:sz w:val="18"/>
                <w:szCs w:val="18"/>
              </w:rPr>
            </w:pPr>
            <w:r w:rsidRPr="006748EE">
              <w:rPr>
                <w:rFonts w:ascii="Arial" w:hAnsi="Arial" w:cs="Arial"/>
                <w:b/>
                <w:color w:val="00B050"/>
                <w:sz w:val="18"/>
                <w:szCs w:val="18"/>
              </w:rPr>
              <w:t>Descripteurs</w:t>
            </w:r>
            <w:r w:rsidRPr="006748EE">
              <w:rPr>
                <w:rFonts w:ascii="Arial" w:hAnsi="Arial" w:cs="Arial"/>
                <w:b/>
                <w:sz w:val="18"/>
                <w:szCs w:val="18"/>
              </w:rPr>
              <w:t xml:space="preserve"> </w:t>
            </w:r>
            <w:r w:rsidRPr="006748EE">
              <w:rPr>
                <w:rFonts w:ascii="Arial" w:hAnsi="Arial" w:cs="Arial"/>
                <w:i/>
                <w:sz w:val="18"/>
                <w:szCs w:val="18"/>
              </w:rPr>
              <w:t>par domaine d’évaluation avec gradation</w:t>
            </w:r>
          </w:p>
        </w:tc>
        <w:tc>
          <w:tcPr>
            <w:tcW w:w="4672" w:type="dxa"/>
            <w:gridSpan w:val="2"/>
            <w:shd w:val="clear" w:color="auto" w:fill="FFFFFF" w:themeFill="background1"/>
            <w:vAlign w:val="center"/>
            <w:hideMark/>
          </w:tcPr>
          <w:p w:rsidR="00A16CFC" w:rsidRPr="006748EE" w:rsidRDefault="00593EAB" w:rsidP="00593EAB">
            <w:pPr>
              <w:spacing w:before="60" w:after="60"/>
              <w:jc w:val="center"/>
              <w:rPr>
                <w:rFonts w:ascii="Arial" w:hAnsi="Arial" w:cs="Arial"/>
                <w:b/>
                <w:sz w:val="18"/>
                <w:szCs w:val="18"/>
              </w:rPr>
            </w:pPr>
            <w:r>
              <w:rPr>
                <w:rFonts w:ascii="Arial" w:hAnsi="Arial" w:cs="Arial"/>
                <w:b/>
                <w:sz w:val="18"/>
                <w:szCs w:val="18"/>
              </w:rPr>
              <w:t>É</w:t>
            </w:r>
            <w:r w:rsidR="00A16CFC" w:rsidRPr="006748EE">
              <w:rPr>
                <w:rFonts w:ascii="Arial" w:hAnsi="Arial" w:cs="Arial"/>
                <w:b/>
                <w:sz w:val="18"/>
                <w:szCs w:val="18"/>
              </w:rPr>
              <w:t>valuation</w:t>
            </w:r>
          </w:p>
        </w:tc>
      </w:tr>
      <w:tr w:rsidR="00176FFA" w:rsidTr="00176FFA">
        <w:tc>
          <w:tcPr>
            <w:tcW w:w="1413" w:type="dxa"/>
            <w:shd w:val="clear" w:color="auto" w:fill="FFFFFF" w:themeFill="background1"/>
            <w:vAlign w:val="center"/>
          </w:tcPr>
          <w:p w:rsidR="00A16CFC" w:rsidRPr="006748EE" w:rsidRDefault="00A16CFC" w:rsidP="00593EAB">
            <w:pPr>
              <w:spacing w:before="60" w:after="60"/>
              <w:ind w:firstLine="709"/>
              <w:jc w:val="center"/>
              <w:rPr>
                <w:rFonts w:ascii="Arial"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jc w:val="center"/>
              <w:rPr>
                <w:rFonts w:ascii="Arial" w:hAnsi="Arial" w:cs="Arial"/>
                <w:b/>
                <w:sz w:val="18"/>
                <w:szCs w:val="18"/>
              </w:rPr>
            </w:pPr>
            <w:r w:rsidRPr="006748EE">
              <w:rPr>
                <w:rFonts w:ascii="Arial" w:hAnsi="Arial" w:cs="Arial"/>
                <w:b/>
                <w:sz w:val="18"/>
                <w:szCs w:val="18"/>
              </w:rPr>
              <w:t>Items</w:t>
            </w:r>
          </w:p>
        </w:tc>
        <w:tc>
          <w:tcPr>
            <w:tcW w:w="1275" w:type="dxa"/>
            <w:shd w:val="clear" w:color="auto" w:fill="BFBFBF" w:themeFill="background1" w:themeFillShade="BF"/>
            <w:vAlign w:val="center"/>
            <w:hideMark/>
          </w:tcPr>
          <w:p w:rsidR="00A16CFC" w:rsidRPr="006748EE" w:rsidRDefault="00A16CFC" w:rsidP="00593EAB">
            <w:pPr>
              <w:spacing w:before="60" w:after="60"/>
              <w:jc w:val="center"/>
              <w:rPr>
                <w:rFonts w:ascii="Arial" w:hAnsi="Arial" w:cs="Arial"/>
                <w:b/>
                <w:sz w:val="18"/>
                <w:szCs w:val="18"/>
              </w:rPr>
            </w:pPr>
            <w:r w:rsidRPr="006748EE">
              <w:rPr>
                <w:rFonts w:ascii="Arial" w:hAnsi="Arial" w:cs="Arial"/>
                <w:b/>
                <w:sz w:val="18"/>
                <w:szCs w:val="18"/>
              </w:rPr>
              <w:t>Non engagé par l’EPLE</w:t>
            </w:r>
          </w:p>
        </w:tc>
        <w:tc>
          <w:tcPr>
            <w:tcW w:w="1276" w:type="dxa"/>
            <w:shd w:val="clear" w:color="auto" w:fill="D9D9D9" w:themeFill="background1" w:themeFillShade="D9"/>
            <w:vAlign w:val="center"/>
            <w:hideMark/>
          </w:tcPr>
          <w:p w:rsidR="00A16CFC" w:rsidRPr="006748EE" w:rsidRDefault="00593EAB" w:rsidP="00593EAB">
            <w:pPr>
              <w:spacing w:before="60" w:after="60"/>
              <w:jc w:val="center"/>
              <w:rPr>
                <w:rFonts w:ascii="Arial" w:hAnsi="Arial" w:cs="Arial"/>
                <w:b/>
                <w:sz w:val="18"/>
                <w:szCs w:val="18"/>
              </w:rPr>
            </w:pPr>
            <w:r>
              <w:rPr>
                <w:rFonts w:ascii="Arial" w:hAnsi="Arial" w:cs="Arial"/>
                <w:b/>
                <w:sz w:val="18"/>
                <w:szCs w:val="18"/>
              </w:rPr>
              <w:t>À</w:t>
            </w:r>
            <w:r w:rsidR="00A16CFC" w:rsidRPr="006748EE">
              <w:rPr>
                <w:rFonts w:ascii="Arial" w:hAnsi="Arial" w:cs="Arial"/>
                <w:b/>
                <w:sz w:val="18"/>
                <w:szCs w:val="18"/>
              </w:rPr>
              <w:t xml:space="preserve"> renforcer par l’EPLE</w:t>
            </w:r>
          </w:p>
        </w:tc>
        <w:tc>
          <w:tcPr>
            <w:tcW w:w="1276" w:type="dxa"/>
            <w:shd w:val="clear" w:color="auto" w:fill="F2F2F2" w:themeFill="background1" w:themeFillShade="F2"/>
            <w:vAlign w:val="center"/>
            <w:hideMark/>
          </w:tcPr>
          <w:p w:rsidR="00A16CFC" w:rsidRPr="006748EE" w:rsidRDefault="00A16CFC" w:rsidP="00593EAB">
            <w:pPr>
              <w:spacing w:before="60" w:after="60"/>
              <w:jc w:val="center"/>
              <w:rPr>
                <w:rFonts w:ascii="Arial" w:hAnsi="Arial" w:cs="Arial"/>
                <w:b/>
                <w:sz w:val="18"/>
                <w:szCs w:val="18"/>
              </w:rPr>
            </w:pPr>
            <w:r w:rsidRPr="006748EE">
              <w:rPr>
                <w:rFonts w:ascii="Arial" w:hAnsi="Arial" w:cs="Arial"/>
                <w:b/>
                <w:sz w:val="18"/>
                <w:szCs w:val="18"/>
              </w:rPr>
              <w:t>Atteint par l’EPLE</w:t>
            </w:r>
          </w:p>
        </w:tc>
        <w:tc>
          <w:tcPr>
            <w:tcW w:w="1276" w:type="dxa"/>
            <w:shd w:val="clear" w:color="auto" w:fill="FFFFFF" w:themeFill="background1"/>
            <w:vAlign w:val="center"/>
            <w:hideMark/>
          </w:tcPr>
          <w:p w:rsidR="00A16CFC" w:rsidRPr="006748EE" w:rsidRDefault="00A16CFC" w:rsidP="00593EAB">
            <w:pPr>
              <w:spacing w:before="60" w:after="60"/>
              <w:jc w:val="center"/>
              <w:rPr>
                <w:rFonts w:ascii="Arial" w:hAnsi="Arial" w:cs="Arial"/>
                <w:b/>
                <w:sz w:val="18"/>
                <w:szCs w:val="18"/>
              </w:rPr>
            </w:pPr>
            <w:r w:rsidRPr="006748EE">
              <w:rPr>
                <w:rFonts w:ascii="Arial" w:hAnsi="Arial" w:cs="Arial"/>
                <w:b/>
                <w:sz w:val="18"/>
                <w:szCs w:val="18"/>
              </w:rPr>
              <w:t xml:space="preserve">EPLE de </w:t>
            </w:r>
            <w:r w:rsidR="00593EAB">
              <w:rPr>
                <w:rFonts w:ascii="Arial" w:hAnsi="Arial" w:cs="Arial"/>
                <w:b/>
                <w:sz w:val="18"/>
                <w:szCs w:val="18"/>
              </w:rPr>
              <w:br/>
            </w:r>
            <w:r w:rsidRPr="006748EE">
              <w:rPr>
                <w:rFonts w:ascii="Arial" w:hAnsi="Arial" w:cs="Arial"/>
                <w:b/>
                <w:sz w:val="18"/>
                <w:szCs w:val="18"/>
              </w:rPr>
              <w:t>référence</w:t>
            </w:r>
          </w:p>
        </w:tc>
        <w:tc>
          <w:tcPr>
            <w:tcW w:w="2404" w:type="dxa"/>
            <w:shd w:val="clear" w:color="auto" w:fill="FFFFFF" w:themeFill="background1"/>
            <w:vAlign w:val="center"/>
            <w:hideMark/>
          </w:tcPr>
          <w:p w:rsidR="00A16CFC" w:rsidRPr="006748EE" w:rsidRDefault="00A16CFC" w:rsidP="00593EAB">
            <w:pPr>
              <w:spacing w:before="60" w:after="60"/>
              <w:jc w:val="center"/>
              <w:rPr>
                <w:rFonts w:ascii="Arial" w:hAnsi="Arial" w:cs="Arial"/>
                <w:b/>
                <w:sz w:val="18"/>
                <w:szCs w:val="18"/>
              </w:rPr>
            </w:pPr>
            <w:r w:rsidRPr="006748EE">
              <w:rPr>
                <w:rFonts w:ascii="Arial" w:hAnsi="Arial" w:cs="Arial"/>
                <w:b/>
                <w:sz w:val="18"/>
                <w:szCs w:val="18"/>
              </w:rPr>
              <w:t>Auto-évaluation de l’EPLE</w:t>
            </w:r>
          </w:p>
        </w:tc>
        <w:tc>
          <w:tcPr>
            <w:tcW w:w="2268" w:type="dxa"/>
            <w:shd w:val="clear" w:color="auto" w:fill="FFFFFF" w:themeFill="background1"/>
            <w:vAlign w:val="center"/>
            <w:hideMark/>
          </w:tcPr>
          <w:p w:rsidR="00A16CFC" w:rsidRPr="006748EE" w:rsidRDefault="00593EAB" w:rsidP="00593EAB">
            <w:pPr>
              <w:spacing w:before="60" w:after="60"/>
              <w:jc w:val="center"/>
              <w:rPr>
                <w:rFonts w:ascii="Arial" w:hAnsi="Arial" w:cs="Arial"/>
                <w:b/>
                <w:sz w:val="18"/>
                <w:szCs w:val="18"/>
              </w:rPr>
            </w:pPr>
            <w:r>
              <w:rPr>
                <w:rFonts w:ascii="Arial" w:hAnsi="Arial" w:cs="Arial"/>
                <w:b/>
                <w:sz w:val="18"/>
                <w:szCs w:val="18"/>
              </w:rPr>
              <w:t>É</w:t>
            </w:r>
            <w:r w:rsidR="00A16CFC" w:rsidRPr="006748EE">
              <w:rPr>
                <w:rFonts w:ascii="Arial" w:hAnsi="Arial" w:cs="Arial"/>
                <w:b/>
                <w:sz w:val="18"/>
                <w:szCs w:val="18"/>
              </w:rPr>
              <w:t>valuation externe des autorités académiques</w:t>
            </w:r>
          </w:p>
        </w:tc>
      </w:tr>
      <w:tr w:rsidR="00176FFA" w:rsidTr="00176FFA">
        <w:trPr>
          <w:trHeight w:val="1644"/>
        </w:trPr>
        <w:tc>
          <w:tcPr>
            <w:tcW w:w="1413" w:type="dxa"/>
            <w:vMerge w:val="restart"/>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1.</w:t>
            </w:r>
          </w:p>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Mixité sociale et cohésion nationale</w:t>
            </w: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Domaine1</w:t>
            </w:r>
            <w:r w:rsidRPr="006748EE">
              <w:rPr>
                <w:rFonts w:ascii="Arial" w:hAnsi="Arial" w:cs="Arial"/>
                <w:color w:val="FF0000"/>
                <w:sz w:val="18"/>
                <w:szCs w:val="18"/>
              </w:rPr>
              <w:t> </w:t>
            </w:r>
            <w:r w:rsidR="006748EE">
              <w:rPr>
                <w:rFonts w:ascii="Arial" w:hAnsi="Arial" w:cs="Arial"/>
                <w:sz w:val="18"/>
                <w:szCs w:val="18"/>
              </w:rPr>
              <w:t>-</w:t>
            </w:r>
            <w:r w:rsidRPr="006748EE">
              <w:rPr>
                <w:rFonts w:ascii="Arial" w:hAnsi="Arial" w:cs="Arial"/>
                <w:sz w:val="18"/>
                <w:szCs w:val="18"/>
              </w:rPr>
              <w:t xml:space="preserve"> L’établissement forme les élèves à l’esprit d’équipe.</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L’EPS porte l’enjeu de cohésion</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Toutes les disciplines encouragent la cohésion</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L’esprit d’équipe est fortement encouragé dans tous les espaces</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L’engagement au service du collectif est valorisé</w:t>
            </w:r>
            <w:r w:rsidRPr="006748EE">
              <w:rPr>
                <w:rFonts w:ascii="Arial" w:hAnsi="Arial" w:cs="Arial"/>
                <w:strike/>
                <w:sz w:val="18"/>
                <w:szCs w:val="18"/>
              </w:rPr>
              <w:t xml:space="preserve"> </w:t>
            </w:r>
            <w:r w:rsidRPr="006748EE">
              <w:rPr>
                <w:rFonts w:ascii="Arial" w:hAnsi="Arial" w:cs="Arial"/>
                <w:sz w:val="18"/>
                <w:szCs w:val="18"/>
              </w:rPr>
              <w:t>dans les bulletins</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1644"/>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6748EE">
              <w:rPr>
                <w:rFonts w:ascii="Arial" w:hAnsi="Arial" w:cs="Arial"/>
                <w:sz w:val="18"/>
                <w:szCs w:val="18"/>
              </w:rPr>
              <w:t>-</w:t>
            </w:r>
            <w:r w:rsidRPr="006748EE">
              <w:rPr>
                <w:rFonts w:ascii="Arial" w:hAnsi="Arial" w:cs="Arial"/>
                <w:sz w:val="18"/>
                <w:szCs w:val="18"/>
              </w:rPr>
              <w:t xml:space="preserve"> L’établissement fonde la vie scolaire autour de la cohésion entre élèves. </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 xml:space="preserve">Le règlement intérieur affirme l’identité de l’établissement </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 xml:space="preserve">La vie scolaire propose des projets solidaires </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et enseignants animent des projets de cohésion</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sont préparés au séjour de cohésion du SNU</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1644"/>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6748EE">
              <w:rPr>
                <w:rFonts w:ascii="Arial" w:hAnsi="Arial" w:cs="Arial"/>
                <w:sz w:val="18"/>
                <w:szCs w:val="18"/>
              </w:rPr>
              <w:t>-</w:t>
            </w:r>
            <w:r w:rsidRPr="006748EE">
              <w:rPr>
                <w:rFonts w:ascii="Arial" w:hAnsi="Arial" w:cs="Arial"/>
                <w:sz w:val="18"/>
                <w:szCs w:val="18"/>
              </w:rPr>
              <w:t xml:space="preserve"> L’établissement porte une véritable stratégie de mixité sociale.</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Coloration de l’offre éducative</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Diversification de l’offre éducative adaptée aux besoins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mixité sociale au cœur de la composition des classes</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Une stratégie de cohésion sociale au cœur du projet éducatif</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1644"/>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6748EE">
              <w:rPr>
                <w:rFonts w:ascii="Arial" w:hAnsi="Arial" w:cs="Arial"/>
                <w:sz w:val="18"/>
                <w:szCs w:val="18"/>
              </w:rPr>
              <w:t>-</w:t>
            </w:r>
            <w:r w:rsidRPr="006748EE">
              <w:rPr>
                <w:rFonts w:ascii="Arial" w:hAnsi="Arial" w:cs="Arial"/>
                <w:sz w:val="18"/>
                <w:szCs w:val="18"/>
              </w:rPr>
              <w:t xml:space="preserve"> L’établissement anime un réseau d’acteurs en mesure de renforcer la cohésion sociale à l’échelle territoriale</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différents partenariats sont valorisés dans la communication du lycée</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 xml:space="preserve">La dimension partenariale est inscrite dans le projet éducatif  </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cohésion sociale est au cœur d’un PEDT</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 xml:space="preserve">Le lycée est un ESJ formateur pour la cohésion sociale </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val="restart"/>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2.</w:t>
            </w:r>
          </w:p>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Expression démocratique</w:t>
            </w: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1</w:t>
            </w:r>
            <w:r w:rsidRPr="006748EE">
              <w:rPr>
                <w:rFonts w:ascii="Arial" w:hAnsi="Arial" w:cs="Arial"/>
                <w:color w:val="FF0000"/>
                <w:sz w:val="18"/>
                <w:szCs w:val="18"/>
              </w:rPr>
              <w:t> </w:t>
            </w:r>
            <w:r w:rsidR="006748EE">
              <w:rPr>
                <w:rFonts w:ascii="Arial" w:hAnsi="Arial" w:cs="Arial"/>
                <w:sz w:val="18"/>
                <w:szCs w:val="18"/>
              </w:rPr>
              <w:t>-</w:t>
            </w:r>
            <w:r w:rsidRPr="006748EE">
              <w:rPr>
                <w:rFonts w:ascii="Arial" w:hAnsi="Arial" w:cs="Arial"/>
                <w:sz w:val="18"/>
                <w:szCs w:val="18"/>
              </w:rPr>
              <w:t xml:space="preserve"> L’établissement encourage l’apprentissage collaboratif et la pédagogie de projets négociés pour mieux engager les élèves dans leur apprentissage</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formes sociales de travail sont variées dans toutes les disciplines</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Toutes les disciplines intègrent la démarche de projet</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 séjour de cohésion du SNU devient un projet de classe</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 parcours citoyen est au cœur d’une culture collective du projet</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forme les élèves au débat d’idées et à la recherche de consensus ou de postures d’équilibre prenant en compte la diversité des opinions et intérêts.</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Débat uniquement en EMC</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Culture transversale du débat, y compris dans la vie scolaire</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Débats citoyens interdisciplinaires</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proofErr w:type="spellStart"/>
            <w:r w:rsidRPr="006748EE">
              <w:rPr>
                <w:rFonts w:ascii="Arial" w:hAnsi="Arial" w:cs="Arial"/>
                <w:sz w:val="18"/>
                <w:szCs w:val="18"/>
              </w:rPr>
              <w:t>Simul’ONU</w:t>
            </w:r>
            <w:proofErr w:type="spellEnd"/>
            <w:r w:rsidRPr="006748EE">
              <w:rPr>
                <w:rFonts w:ascii="Arial" w:hAnsi="Arial" w:cs="Arial"/>
                <w:sz w:val="18"/>
                <w:szCs w:val="18"/>
              </w:rPr>
              <w:t xml:space="preserve"> avec prise de décision et Action collective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porte les fondements de la démocratie participative dans le fonctionnement de ses instances</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droits et devoirs du citoyen sont expliqués aux élèves</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Des actions citoyennes portées par certaines disciplines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Projet citoyen au cœur du projet éducatif</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Fonctionnement participatif du conseil pédagogique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encourage, soutient et prend en compte l’expression des élèves, en particulier dès lors que celle-ci est liée à une prise d’initiative et/ou en engagement en lien (ou pas) avec le SNU</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 xml:space="preserve">La prise d’initiative des élèves est soutenue </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sont formés pour pouvoir exprimer leur engagement</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disposent d’espaces d’expression pour valoriser leur engagement</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animent un réseau d’acteurs autour du SNU</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val="restart"/>
            <w:shd w:val="clear" w:color="auto" w:fill="FFFFFF" w:themeFill="background1"/>
            <w:vAlign w:val="center"/>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3.</w:t>
            </w:r>
          </w:p>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Gestion de soi, gestion de projet et engagement</w:t>
            </w:r>
          </w:p>
          <w:p w:rsidR="00A16CFC" w:rsidRPr="006748EE" w:rsidRDefault="00A16CFC" w:rsidP="00593EAB">
            <w:pPr>
              <w:spacing w:before="60" w:after="60"/>
              <w:ind w:firstLine="709"/>
              <w:jc w:val="center"/>
              <w:rPr>
                <w:rFonts w:ascii="Arial"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1</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Les élèves sont formés aux différents aspects de la gestion de projet : définition des enjeux et du périmètre, recherche de partenaires et de financements, plan de communication, outil de suivi et stratégie de valorisation.</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logique de projet reste à l’initiative des enseignants</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narration de projet est encouragée pour aider les élèves à parler de leurs acquis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sont responsabilisés dans la gestion de projet et formés à l’identification de leurs acquis</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portent l’ensemble de la chaîne de valeur d’un projet</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offre aux élèves l’opportunité de s’engager dans un dialogue interculturel et/ou intergénérationnel. Il forme les élèves à l’observation des différences culturelles et à la valorisation de la diversité.</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lutte contre les stéréotypes</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prend en compte la diversité des profils et besoins d’élèves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forme les élèves et enseignants à l’acceptation de la différence</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fait de la valorisation de la diversité le cœur de son projet éducatif</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porte une stratégie d’ouverture à l’altérité et d’encouragement à la mobilité internationale des élèves et personnels</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mobilité est réservée à certaines classes et/ou déconnectée du reste de la formation</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acquis de la mobilité sont valorisés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Tous les élèves ont accès à une offre de mobilité internationale qualifiante</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mobilité internationale constitue un levier de formation tout au long de la vie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constitue une tête de réseau</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propose des projets bilatéraux</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fait partie d’un réseau scolaire élargi</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anime d’un réseau éducatif d’acteurs divers</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parents et personnels sont associés à l’animation des réseaux</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val="restart"/>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4.</w:t>
            </w:r>
          </w:p>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Citoyenneté, institutions et responsabilité</w:t>
            </w: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Domaine1</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Les élèves sont sensibilisés au fonctionnement des institutions de la République française et des institutions européennes.</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 fonctionnement des institutions est abordé en EMC</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Visites ponctuelles des institutions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Projet filé en lien avec les institutions</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Projet filé en lien avec les institutions et cérémonie de remise des diplômes en présence d’officiels</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La vie scolaire est organisée autour du développement du sens des responsabilités des élèves</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Certains enseignements alternent les formes sociales de travail</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approches collaboratives font l’objet d’une concertation entre enseignants et vie scolaire</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responsabilise les élèves dans la gestion des espaces collectifs (ex</w:t>
            </w:r>
            <w:r w:rsidR="00593EAB">
              <w:rPr>
                <w:rFonts w:ascii="Arial" w:hAnsi="Arial" w:cs="Arial"/>
                <w:sz w:val="18"/>
                <w:szCs w:val="18"/>
              </w:rPr>
              <w:t>.</w:t>
            </w:r>
            <w:r w:rsidRPr="006748EE">
              <w:rPr>
                <w:rFonts w:ascii="Arial" w:hAnsi="Arial" w:cs="Arial"/>
                <w:sz w:val="18"/>
                <w:szCs w:val="18"/>
              </w:rPr>
              <w:t> : CDI).</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 xml:space="preserve">Des élèves médiateurs contribuent à la résolution de conflits et au dialogue avec les parents et les partenaires </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accompagne les élèves désireux d’exercer une citoyenneté active</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La question de la citoyenneté n’est traitée qu’en EMC</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informe les élèves sur les possibilités d’engagement en lien avec le SNU</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valorise l’engagement associatif des élèves, notamment les MIG</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L’établissement promeut les partenariats éducatifs autour de la citoyenneté</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6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forme les élèves aux valeurs de liberté, égalité, fraternité et au principe de laïcité en lien avec divers partenaires.</w:t>
            </w:r>
          </w:p>
        </w:tc>
        <w:tc>
          <w:tcPr>
            <w:tcW w:w="1275" w:type="dxa"/>
            <w:shd w:val="clear" w:color="auto" w:fill="BFBFBF" w:themeFill="background1" w:themeFillShade="BF"/>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valeurs et principe</w:t>
            </w:r>
            <w:r w:rsidR="00593EAB">
              <w:rPr>
                <w:rFonts w:ascii="Arial" w:hAnsi="Arial" w:cs="Arial"/>
                <w:sz w:val="18"/>
                <w:szCs w:val="18"/>
              </w:rPr>
              <w:t>s</w:t>
            </w:r>
            <w:r w:rsidRPr="006748EE">
              <w:rPr>
                <w:rFonts w:ascii="Arial" w:hAnsi="Arial" w:cs="Arial"/>
                <w:sz w:val="18"/>
                <w:szCs w:val="18"/>
              </w:rPr>
              <w:t xml:space="preserve"> de la République sont présentés aux élèves</w:t>
            </w:r>
          </w:p>
        </w:tc>
        <w:tc>
          <w:tcPr>
            <w:tcW w:w="1276" w:type="dxa"/>
            <w:shd w:val="clear" w:color="auto" w:fill="D9D9D9" w:themeFill="background1" w:themeFillShade="D9"/>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réalisent un travail collectif sur ces valeurs et principe</w:t>
            </w:r>
            <w:r w:rsidR="00593EAB">
              <w:rPr>
                <w:rFonts w:ascii="Arial" w:hAnsi="Arial" w:cs="Arial"/>
                <w:sz w:val="18"/>
                <w:szCs w:val="18"/>
              </w:rPr>
              <w:t>s</w:t>
            </w:r>
          </w:p>
        </w:tc>
        <w:tc>
          <w:tcPr>
            <w:tcW w:w="1276" w:type="dxa"/>
            <w:shd w:val="clear" w:color="auto" w:fill="F2F2F2" w:themeFill="background1" w:themeFillShade="F2"/>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deviennent des médiateurs de ces valeurs et principe</w:t>
            </w:r>
            <w:r w:rsidR="00593EAB">
              <w:rPr>
                <w:rFonts w:ascii="Arial" w:hAnsi="Arial" w:cs="Arial"/>
                <w:sz w:val="18"/>
                <w:szCs w:val="18"/>
              </w:rPr>
              <w:t>s</w:t>
            </w:r>
            <w:r w:rsidRPr="006748EE">
              <w:rPr>
                <w:rFonts w:ascii="Arial" w:hAnsi="Arial" w:cs="Arial"/>
                <w:sz w:val="18"/>
                <w:szCs w:val="18"/>
              </w:rPr>
              <w:t xml:space="preserve"> au sein de l’établissement</w:t>
            </w:r>
          </w:p>
        </w:tc>
        <w:tc>
          <w:tcPr>
            <w:tcW w:w="1276" w:type="dxa"/>
            <w:shd w:val="clear" w:color="auto" w:fill="FFFFFF" w:themeFill="background1"/>
            <w:vAlign w:val="center"/>
            <w:hideMark/>
          </w:tcPr>
          <w:p w:rsidR="00A16CFC" w:rsidRPr="006748EE" w:rsidRDefault="00A16CFC" w:rsidP="00593EAB">
            <w:pPr>
              <w:spacing w:before="60" w:after="60" w:line="220" w:lineRule="exact"/>
              <w:rPr>
                <w:rFonts w:ascii="Arial" w:hAnsi="Arial" w:cs="Arial"/>
                <w:sz w:val="18"/>
                <w:szCs w:val="18"/>
              </w:rPr>
            </w:pPr>
            <w:r w:rsidRPr="006748EE">
              <w:rPr>
                <w:rFonts w:ascii="Arial" w:hAnsi="Arial" w:cs="Arial"/>
                <w:sz w:val="18"/>
                <w:szCs w:val="18"/>
              </w:rPr>
              <w:t>Les élèves sont des ambassadeurs de ces valeurs et principe</w:t>
            </w:r>
            <w:r w:rsidR="00593EAB">
              <w:rPr>
                <w:rFonts w:ascii="Arial" w:hAnsi="Arial" w:cs="Arial"/>
                <w:sz w:val="18"/>
                <w:szCs w:val="18"/>
              </w:rPr>
              <w:t>s</w:t>
            </w:r>
            <w:r w:rsidRPr="006748EE">
              <w:rPr>
                <w:rFonts w:ascii="Arial" w:hAnsi="Arial" w:cs="Arial"/>
                <w:sz w:val="18"/>
                <w:szCs w:val="18"/>
              </w:rPr>
              <w:t xml:space="preserve"> dans l’accueil de partenaires</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154"/>
        </w:trPr>
        <w:tc>
          <w:tcPr>
            <w:tcW w:w="1413" w:type="dxa"/>
            <w:vMerge w:val="restart"/>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5.</w:t>
            </w:r>
          </w:p>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Développement durable</w:t>
            </w: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Domaine1</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forme les élèves au développement durable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informe les élèves</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responsabilise les élèves et personnels dans la réduction de tous déchets</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implique les élèves et personnels autour d’objectifs écologiques exigeants</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est une référence dans sa capacité à faire de l’EDD le cœur de son projet éducatif</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154"/>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développe la capacité d’adaptation des élèves à la transition écologique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forme les élèves à la complexité</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développe l’agilité des élèves</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fait de la capacité d’adaptation à un monde en transition une entrée pédagogique interdisciplinaire </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fait de la capacité d’action et d’adaptation un levier de formation tout au long de la vie des élèves, parents et personnels</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154"/>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développe un fonctionnement agile pour répondre aux exigences et conséquences du développement durable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dispose de référents EDD</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donne à ses référents EDD de véritables marges d’action </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sollicite l’initiative des élèves et personnels pour améliorer sa performance énergétique et écologique</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est porteur d’une véritable </w:t>
            </w:r>
            <w:proofErr w:type="spellStart"/>
            <w:r w:rsidRPr="006748EE">
              <w:rPr>
                <w:rFonts w:ascii="Arial" w:hAnsi="Arial" w:cs="Arial"/>
                <w:sz w:val="18"/>
                <w:szCs w:val="18"/>
              </w:rPr>
              <w:t>agentivité</w:t>
            </w:r>
            <w:proofErr w:type="spellEnd"/>
            <w:r w:rsidRPr="006748EE">
              <w:rPr>
                <w:rFonts w:ascii="Arial" w:hAnsi="Arial" w:cs="Arial"/>
                <w:sz w:val="18"/>
                <w:szCs w:val="18"/>
              </w:rPr>
              <w:t xml:space="preserve"> collective dans le domaine du développement durable qui sert de référence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154"/>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développe des partenariats pour répondre au défi de la transition écologique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fait intervenir des partenaires sur la transition écologique</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développe des projets en lien avec des partenaires pour répondre au défi de la transition écologique</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mobilise ses partenaires institutionnels pour innover dans le domaine de la transition écologique</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est un tiers-lieu formateur sur les enjeux de la transition écologique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11"/>
        </w:trPr>
        <w:tc>
          <w:tcPr>
            <w:tcW w:w="1413" w:type="dxa"/>
            <w:vMerge w:val="restart"/>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6.</w:t>
            </w:r>
          </w:p>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Défense et sécurité</w:t>
            </w: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Domaine1</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forme les élèves aux questions de défense et sécurité</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informe les élèves sur les questions de défense et sécurité</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informe les élèves sur les possibilités d’engagement (volontariat, service civique, réserve citoyenne</w:t>
            </w:r>
            <w:r w:rsidR="00593EAB">
              <w:rPr>
                <w:rFonts w:ascii="Arial" w:hAnsi="Arial" w:cs="Arial"/>
                <w:sz w:val="18"/>
                <w:szCs w:val="18"/>
              </w:rPr>
              <w:t>,</w:t>
            </w:r>
            <w:r w:rsidRPr="006748EE">
              <w:rPr>
                <w:rFonts w:ascii="Arial" w:hAnsi="Arial" w:cs="Arial"/>
                <w:sz w:val="18"/>
                <w:szCs w:val="18"/>
              </w:rPr>
              <w:t xml:space="preserve"> etc.)</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intègre la JDC dans le parcours citoyen pour en faire un levier d’inclusion et de mixité sociales</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innove autour des tiers-lieux apprenants en partenariats avec la défense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11"/>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sécurise l’élève dans sa vie scolaire et l’accompagne dans son insertion sociale, civique et professionnelle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aide l’élève à dépasser les préjugés et à s’inscrire dans un collectif</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aide l’élève à exprimer et gérer ses émotions et à s’engager auprès des autres.</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fait de l’éducation à la défense et sécurité nationales un levier d’engagement au service du collectif</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dispose d’un réseau partenarial pour articuler l’éducation scolaire et militaire au service de l’inclusion sociale et l’engagement civique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11"/>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fait des questions de résilience un objectif éducatif transversal</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développe l’entraide entre élèves</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développe la mobilité entrante par le corps européen de solidarité </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fonde son projet éducatif sur la résilience collective</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constitue hors-temps scolaire un espace service jeunesse de résilience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211"/>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contribue à la capacité de résilience du territoire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identifie des partenaires locaux sur les questions de défense</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aborde la question de l’</w:t>
            </w:r>
            <w:r w:rsidR="00593EAB">
              <w:rPr>
                <w:rFonts w:ascii="Arial" w:hAnsi="Arial" w:cs="Arial"/>
                <w:sz w:val="18"/>
                <w:szCs w:val="18"/>
              </w:rPr>
              <w:t>É</w:t>
            </w:r>
            <w:r w:rsidRPr="006748EE">
              <w:rPr>
                <w:rFonts w:ascii="Arial" w:hAnsi="Arial" w:cs="Arial"/>
                <w:sz w:val="18"/>
                <w:szCs w:val="18"/>
              </w:rPr>
              <w:t>tat de droit avec des partenaires de la défense</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un réseau scolaire pour concrétiser le «</w:t>
            </w:r>
            <w:r w:rsidR="00593EAB">
              <w:rPr>
                <w:rFonts w:ascii="Arial" w:hAnsi="Arial" w:cs="Arial"/>
                <w:sz w:val="18"/>
                <w:szCs w:val="18"/>
              </w:rPr>
              <w:t> </w:t>
            </w:r>
            <w:r w:rsidRPr="006748EE">
              <w:rPr>
                <w:rFonts w:ascii="Arial" w:hAnsi="Arial" w:cs="Arial"/>
                <w:sz w:val="18"/>
                <w:szCs w:val="18"/>
              </w:rPr>
              <w:t>faire nation</w:t>
            </w:r>
            <w:r w:rsidR="00593EAB">
              <w:rPr>
                <w:rFonts w:ascii="Arial" w:hAnsi="Arial" w:cs="Arial"/>
                <w:sz w:val="18"/>
                <w:szCs w:val="18"/>
              </w:rPr>
              <w:t> </w:t>
            </w:r>
            <w:r w:rsidRPr="006748EE">
              <w:rPr>
                <w:rFonts w:ascii="Arial" w:hAnsi="Arial" w:cs="Arial"/>
                <w:sz w:val="18"/>
                <w:szCs w:val="18"/>
              </w:rPr>
              <w:t>» chez les élèves</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anime un réseau territorial sur le «</w:t>
            </w:r>
            <w:r w:rsidR="00593EAB">
              <w:rPr>
                <w:rFonts w:ascii="Arial" w:hAnsi="Arial" w:cs="Arial"/>
                <w:sz w:val="18"/>
                <w:szCs w:val="18"/>
              </w:rPr>
              <w:t> </w:t>
            </w:r>
            <w:r w:rsidRPr="006748EE">
              <w:rPr>
                <w:rFonts w:ascii="Arial" w:hAnsi="Arial" w:cs="Arial"/>
                <w:sz w:val="18"/>
                <w:szCs w:val="18"/>
              </w:rPr>
              <w:t>faire nation</w:t>
            </w:r>
            <w:r w:rsidR="00593EAB">
              <w:rPr>
                <w:rFonts w:ascii="Arial" w:hAnsi="Arial" w:cs="Arial"/>
                <w:sz w:val="18"/>
                <w:szCs w:val="18"/>
              </w:rPr>
              <w:t> </w:t>
            </w:r>
            <w:r w:rsidRPr="006748EE">
              <w:rPr>
                <w:rFonts w:ascii="Arial" w:hAnsi="Arial" w:cs="Arial"/>
                <w:sz w:val="18"/>
                <w:szCs w:val="18"/>
              </w:rPr>
              <w:t>» pour toute la communauté</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098"/>
        </w:trPr>
        <w:tc>
          <w:tcPr>
            <w:tcW w:w="1413" w:type="dxa"/>
            <w:vMerge w:val="restart"/>
            <w:shd w:val="clear" w:color="auto" w:fill="FFFFFF" w:themeFill="background1"/>
            <w:vAlign w:val="center"/>
            <w:hideMark/>
          </w:tcPr>
          <w:p w:rsidR="00A16CFC" w:rsidRPr="006748EE" w:rsidRDefault="00A16CFC" w:rsidP="00593EAB">
            <w:pPr>
              <w:spacing w:before="60" w:after="60"/>
              <w:jc w:val="center"/>
              <w:rPr>
                <w:rFonts w:ascii="Arial" w:hAnsi="Arial" w:cs="Arial"/>
                <w:b/>
                <w:color w:val="7030A0"/>
                <w:sz w:val="18"/>
                <w:szCs w:val="18"/>
              </w:rPr>
            </w:pPr>
            <w:r w:rsidRPr="006748EE">
              <w:rPr>
                <w:rFonts w:ascii="Arial" w:hAnsi="Arial" w:cs="Arial"/>
                <w:b/>
                <w:color w:val="7030A0"/>
                <w:sz w:val="18"/>
                <w:szCs w:val="18"/>
              </w:rPr>
              <w:t>7. Citoyenneté numérique et intelligence artificielle</w:t>
            </w: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Domaine1</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forme les élèves à un usage responsable et efficace du numérique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forme les élèves à la résolution de problème </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forme les élèves aux risques de la désinformation et à l’acceptation de la complexité</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forme les élèves à la recherche de la nuance par le croisement des sources d’information</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forme des délégués au numérique chargés de former autrui à un usage responsable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09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2</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contribue à l’éducation numérique des élèves</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informe les élèves sur la protection des données personnelles</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forme les élèves aux conséquences de leur comportement numérique </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forme les élèves à l’exercice de leur citoyenneté numérique</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fait des élèves des médiateurs de la sécurité numérique</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09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3</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s’adapte aux évolutions technologiques</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interdit les usages de l’IA</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autorise le recours à l’IA pour des usages précis</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développe une veille sur les usages de l’IA</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associe les élèves à la veille sur les usages de l’IA</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r w:rsidR="00176FFA" w:rsidTr="00176FFA">
        <w:trPr>
          <w:trHeight w:val="2098"/>
        </w:trPr>
        <w:tc>
          <w:tcPr>
            <w:tcW w:w="1413" w:type="dxa"/>
            <w:vMerge/>
            <w:shd w:val="clear" w:color="auto" w:fill="FFFFFF" w:themeFill="background1"/>
            <w:vAlign w:val="center"/>
            <w:hideMark/>
          </w:tcPr>
          <w:p w:rsidR="00A16CFC" w:rsidRPr="006748EE" w:rsidRDefault="00A16CFC" w:rsidP="00593EAB">
            <w:pPr>
              <w:spacing w:before="60" w:after="60"/>
              <w:jc w:val="center"/>
              <w:rPr>
                <w:rFonts w:ascii="Arial" w:eastAsia="Times New Roman" w:hAnsi="Arial" w:cs="Arial"/>
                <w:b/>
                <w:color w:val="7030A0"/>
                <w:sz w:val="18"/>
                <w:szCs w:val="18"/>
              </w:rPr>
            </w:pPr>
          </w:p>
        </w:tc>
        <w:tc>
          <w:tcPr>
            <w:tcW w:w="411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b/>
                <w:color w:val="FF0000"/>
                <w:sz w:val="18"/>
                <w:szCs w:val="18"/>
              </w:rPr>
              <w:t>Domaine</w:t>
            </w:r>
            <w:r w:rsidR="00593EAB">
              <w:rPr>
                <w:rFonts w:ascii="Arial" w:hAnsi="Arial" w:cs="Arial"/>
                <w:b/>
                <w:color w:val="FF0000"/>
                <w:sz w:val="18"/>
                <w:szCs w:val="18"/>
              </w:rPr>
              <w:t> </w:t>
            </w:r>
            <w:r w:rsidRPr="006748EE">
              <w:rPr>
                <w:rFonts w:ascii="Arial" w:hAnsi="Arial" w:cs="Arial"/>
                <w:b/>
                <w:color w:val="FF0000"/>
                <w:sz w:val="18"/>
                <w:szCs w:val="18"/>
              </w:rPr>
              <w:t>4</w:t>
            </w:r>
            <w:r w:rsidRPr="006748EE">
              <w:rPr>
                <w:rFonts w:ascii="Arial" w:hAnsi="Arial" w:cs="Arial"/>
                <w:color w:val="FF0000"/>
                <w:sz w:val="18"/>
                <w:szCs w:val="18"/>
              </w:rPr>
              <w:t> </w:t>
            </w:r>
            <w:r w:rsidR="00593EAB">
              <w:rPr>
                <w:rFonts w:ascii="Arial" w:hAnsi="Arial" w:cs="Arial"/>
                <w:sz w:val="18"/>
                <w:szCs w:val="18"/>
              </w:rPr>
              <w:t>-</w:t>
            </w:r>
            <w:r w:rsidRPr="006748EE">
              <w:rPr>
                <w:rFonts w:ascii="Arial" w:hAnsi="Arial" w:cs="Arial"/>
                <w:sz w:val="18"/>
                <w:szCs w:val="18"/>
              </w:rPr>
              <w:t xml:space="preserve"> L’établissement comprend l’importance de la maîtrise de la communication numérique</w:t>
            </w:r>
          </w:p>
        </w:tc>
        <w:tc>
          <w:tcPr>
            <w:tcW w:w="1275" w:type="dxa"/>
            <w:shd w:val="clear" w:color="auto" w:fill="BFBFBF" w:themeFill="background1" w:themeFillShade="BF"/>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fixe des règles dans la communication numérique</w:t>
            </w:r>
          </w:p>
        </w:tc>
        <w:tc>
          <w:tcPr>
            <w:tcW w:w="1276" w:type="dxa"/>
            <w:shd w:val="clear" w:color="auto" w:fill="D9D9D9" w:themeFill="background1" w:themeFillShade="D9"/>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forme les élèves aux enjeux et stratégies de la communication numérique </w:t>
            </w:r>
          </w:p>
        </w:tc>
        <w:tc>
          <w:tcPr>
            <w:tcW w:w="1276" w:type="dxa"/>
            <w:shd w:val="clear" w:color="auto" w:fill="F2F2F2" w:themeFill="background1" w:themeFillShade="F2"/>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 xml:space="preserve">L’établissement fait de la communication un enjeu du bien-être des élèves et personnels </w:t>
            </w:r>
          </w:p>
        </w:tc>
        <w:tc>
          <w:tcPr>
            <w:tcW w:w="1276" w:type="dxa"/>
            <w:shd w:val="clear" w:color="auto" w:fill="FFFFFF" w:themeFill="background1"/>
            <w:vAlign w:val="center"/>
            <w:hideMark/>
          </w:tcPr>
          <w:p w:rsidR="00A16CFC" w:rsidRPr="006748EE" w:rsidRDefault="00A16CFC" w:rsidP="00593EAB">
            <w:pPr>
              <w:spacing w:before="60" w:after="60"/>
              <w:rPr>
                <w:rFonts w:ascii="Arial" w:hAnsi="Arial" w:cs="Arial"/>
                <w:sz w:val="18"/>
                <w:szCs w:val="18"/>
              </w:rPr>
            </w:pPr>
            <w:r w:rsidRPr="006748EE">
              <w:rPr>
                <w:rFonts w:ascii="Arial" w:hAnsi="Arial" w:cs="Arial"/>
                <w:sz w:val="18"/>
                <w:szCs w:val="18"/>
              </w:rPr>
              <w:t>L’établissement a développé une expertise de la communication numérique dont tous bénéficient</w:t>
            </w:r>
          </w:p>
        </w:tc>
        <w:tc>
          <w:tcPr>
            <w:tcW w:w="2404"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c>
          <w:tcPr>
            <w:tcW w:w="2268" w:type="dxa"/>
            <w:shd w:val="clear" w:color="auto" w:fill="FFFFFF" w:themeFill="background1"/>
            <w:vAlign w:val="center"/>
          </w:tcPr>
          <w:p w:rsidR="00A16CFC" w:rsidRPr="006748EE" w:rsidRDefault="00A16CFC" w:rsidP="00593EAB">
            <w:pPr>
              <w:spacing w:before="60" w:after="60"/>
              <w:ind w:firstLine="709"/>
              <w:rPr>
                <w:rFonts w:ascii="Arial" w:hAnsi="Arial" w:cs="Arial"/>
                <w:sz w:val="18"/>
                <w:szCs w:val="18"/>
              </w:rPr>
            </w:pPr>
          </w:p>
        </w:tc>
      </w:tr>
    </w:tbl>
    <w:p w:rsidR="00A16CFC" w:rsidRPr="00593EAB" w:rsidRDefault="00A16CFC" w:rsidP="004E1EE2">
      <w:pPr>
        <w:rPr>
          <w:rFonts w:ascii="Arial" w:eastAsiaTheme="minorEastAsia" w:hAnsi="Arial" w:cs="Arial"/>
          <w:b/>
          <w:bCs/>
          <w:color w:val="000000" w:themeColor="text1"/>
          <w:kern w:val="24"/>
          <w:sz w:val="20"/>
          <w:szCs w:val="36"/>
        </w:rPr>
      </w:pPr>
    </w:p>
    <w:sectPr w:rsidR="00A16CFC" w:rsidRPr="00593EAB" w:rsidSect="006748EE">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D5" w:rsidRDefault="00FE67D5" w:rsidP="00FE67D5">
      <w:pPr>
        <w:spacing w:after="0" w:line="240" w:lineRule="auto"/>
      </w:pPr>
      <w:r>
        <w:separator/>
      </w:r>
    </w:p>
  </w:endnote>
  <w:endnote w:type="continuationSeparator" w:id="0">
    <w:p w:rsidR="00FE67D5" w:rsidRDefault="00FE67D5" w:rsidP="00FE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AB" w:rsidRDefault="00593E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7D5" w:rsidRPr="00FE67D5" w:rsidRDefault="00FE67D5" w:rsidP="00FE67D5">
    <w:pPr>
      <w:pStyle w:val="Pieddepage"/>
      <w:spacing w:before="120" w:after="100"/>
      <w:jc w:val="right"/>
      <w:rPr>
        <w:rFonts w:ascii="Arial" w:hAnsi="Arial" w:cs="Arial"/>
        <w:sz w:val="18"/>
      </w:rPr>
    </w:pPr>
    <w:r w:rsidRPr="00FE67D5">
      <w:rPr>
        <w:rFonts w:ascii="Arial" w:hAnsi="Arial" w:cs="Arial"/>
        <w:sz w:val="18"/>
      </w:rPr>
      <w:t>Tableau des indicateurs</w:t>
    </w:r>
    <w:r w:rsidRPr="00FE67D5">
      <w:rPr>
        <w:rFonts w:ascii="Arial" w:hAnsi="Arial" w:cs="Arial"/>
        <w:sz w:val="18"/>
      </w:rPr>
      <w:t xml:space="preserve"> </w:t>
    </w:r>
    <w:r>
      <w:rPr>
        <w:rFonts w:ascii="Arial" w:hAnsi="Arial" w:cs="Arial"/>
        <w:sz w:val="18"/>
      </w:rPr>
      <w:t xml:space="preserve">- </w:t>
    </w:r>
    <w:r w:rsidRPr="00FE67D5">
      <w:rPr>
        <w:rFonts w:ascii="Arial" w:hAnsi="Arial" w:cs="Arial"/>
        <w:sz w:val="18"/>
      </w:rPr>
      <w:t>Valorisation «</w:t>
    </w:r>
    <w:r w:rsidR="00593EAB">
      <w:rPr>
        <w:rFonts w:ascii="Arial" w:hAnsi="Arial" w:cs="Arial"/>
        <w:sz w:val="18"/>
      </w:rPr>
      <w:t> </w:t>
    </w:r>
    <w:r w:rsidRPr="00FE67D5">
      <w:rPr>
        <w:rFonts w:ascii="Arial" w:hAnsi="Arial" w:cs="Arial"/>
        <w:sz w:val="18"/>
      </w:rPr>
      <w:t>Établissement engagé</w:t>
    </w:r>
    <w:r w:rsidR="00593EAB">
      <w:rPr>
        <w:rFonts w:ascii="Arial" w:hAnsi="Arial" w:cs="Arial"/>
        <w:sz w:val="18"/>
      </w:rPr>
      <w:t> </w:t>
    </w:r>
    <w:r w:rsidRPr="00FE67D5">
      <w:rPr>
        <w:rFonts w:ascii="Arial" w:hAnsi="Arial" w:cs="Arial"/>
        <w:sz w:val="18"/>
      </w:rPr>
      <w:t>»</w:t>
    </w:r>
    <w:r w:rsidRPr="00FE67D5">
      <w:rPr>
        <w:rFonts w:ascii="Arial" w:hAnsi="Arial" w:cs="Arial"/>
        <w:sz w:val="18"/>
      </w:rPr>
      <w:tab/>
    </w:r>
    <w:r w:rsidRPr="00FE67D5">
      <w:rPr>
        <w:rFonts w:ascii="Arial" w:hAnsi="Arial" w:cs="Arial"/>
        <w:sz w:val="18"/>
      </w:rPr>
      <w:fldChar w:fldCharType="begin"/>
    </w:r>
    <w:r w:rsidRPr="00FE67D5">
      <w:rPr>
        <w:rFonts w:ascii="Arial" w:hAnsi="Arial" w:cs="Arial"/>
        <w:sz w:val="18"/>
      </w:rPr>
      <w:instrText>PAGE   \* MERGEFORMAT</w:instrText>
    </w:r>
    <w:r w:rsidRPr="00FE67D5">
      <w:rPr>
        <w:rFonts w:ascii="Arial" w:hAnsi="Arial" w:cs="Arial"/>
        <w:sz w:val="18"/>
      </w:rPr>
      <w:fldChar w:fldCharType="separate"/>
    </w:r>
    <w:r w:rsidR="00176FFA">
      <w:rPr>
        <w:rFonts w:ascii="Arial" w:hAnsi="Arial" w:cs="Arial"/>
        <w:noProof/>
        <w:sz w:val="18"/>
      </w:rPr>
      <w:t>7</w:t>
    </w:r>
    <w:r w:rsidRPr="00FE67D5">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AB" w:rsidRDefault="00593E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D5" w:rsidRDefault="00FE67D5" w:rsidP="00FE67D5">
      <w:pPr>
        <w:spacing w:after="0" w:line="240" w:lineRule="auto"/>
      </w:pPr>
      <w:r>
        <w:separator/>
      </w:r>
    </w:p>
  </w:footnote>
  <w:footnote w:type="continuationSeparator" w:id="0">
    <w:p w:rsidR="00FE67D5" w:rsidRDefault="00FE67D5" w:rsidP="00FE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AB" w:rsidRDefault="00593E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AB" w:rsidRDefault="00593E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EAB" w:rsidRDefault="00593E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2D53"/>
    <w:multiLevelType w:val="hybridMultilevel"/>
    <w:tmpl w:val="2B2EE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2C22A6"/>
    <w:multiLevelType w:val="hybridMultilevel"/>
    <w:tmpl w:val="C1C2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40553E"/>
    <w:multiLevelType w:val="hybridMultilevel"/>
    <w:tmpl w:val="6CA6BCA4"/>
    <w:lvl w:ilvl="0" w:tplc="893E93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874619"/>
    <w:multiLevelType w:val="hybridMultilevel"/>
    <w:tmpl w:val="81D67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E76D69"/>
    <w:multiLevelType w:val="hybridMultilevel"/>
    <w:tmpl w:val="5E707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4F"/>
    <w:rsid w:val="00176FFA"/>
    <w:rsid w:val="00345C4F"/>
    <w:rsid w:val="004E1EE2"/>
    <w:rsid w:val="00593EAB"/>
    <w:rsid w:val="006748EE"/>
    <w:rsid w:val="00753915"/>
    <w:rsid w:val="00905284"/>
    <w:rsid w:val="00A16CFC"/>
    <w:rsid w:val="00DB1DD8"/>
    <w:rsid w:val="00FE6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4E74"/>
  <w15:chartTrackingRefBased/>
  <w15:docId w15:val="{F44F0F13-82BD-44D4-9029-2AB5AC3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f">
    <w:name w:val="paragraf"/>
    <w:basedOn w:val="Normal"/>
    <w:link w:val="paragrafCar"/>
    <w:rsid w:val="00345C4F"/>
    <w:pPr>
      <w:suppressAutoHyphens/>
      <w:spacing w:before="150" w:after="0" w:line="240" w:lineRule="auto"/>
      <w:jc w:val="both"/>
    </w:pPr>
    <w:rPr>
      <w:rFonts w:ascii="Calibri" w:eastAsia="Times New Roman" w:hAnsi="Calibri" w:cs="Times New Roman"/>
      <w:szCs w:val="24"/>
      <w:lang w:eastAsia="fr-FR"/>
    </w:rPr>
  </w:style>
  <w:style w:type="character" w:customStyle="1" w:styleId="paragrafCar">
    <w:name w:val="paragraf Car"/>
    <w:basedOn w:val="Policepardfaut"/>
    <w:link w:val="paragraf"/>
    <w:rsid w:val="00345C4F"/>
    <w:rPr>
      <w:rFonts w:ascii="Calibri" w:eastAsia="Times New Roman" w:hAnsi="Calibri" w:cs="Times New Roman"/>
      <w:szCs w:val="24"/>
      <w:lang w:eastAsia="fr-FR"/>
    </w:rPr>
  </w:style>
  <w:style w:type="paragraph" w:customStyle="1" w:styleId="Titresansn">
    <w:name w:val="Titre sans n°"/>
    <w:basedOn w:val="Normal"/>
    <w:next w:val="paragraf"/>
    <w:rsid w:val="00345C4F"/>
    <w:pPr>
      <w:suppressAutoHyphens/>
      <w:spacing w:before="150" w:after="0" w:line="240" w:lineRule="auto"/>
      <w:outlineLvl w:val="0"/>
    </w:pPr>
    <w:rPr>
      <w:rFonts w:ascii="Calibri" w:eastAsia="Times New Roman" w:hAnsi="Calibri" w:cs="Times New Roman"/>
      <w:b/>
      <w:color w:val="2A2FEA"/>
      <w:sz w:val="28"/>
      <w:szCs w:val="32"/>
      <w:lang w:eastAsia="fr-FR"/>
    </w:rPr>
  </w:style>
  <w:style w:type="paragraph" w:styleId="Paragraphedeliste">
    <w:name w:val="List Paragraph"/>
    <w:basedOn w:val="Normal"/>
    <w:uiPriority w:val="34"/>
    <w:qFormat/>
    <w:rsid w:val="00345C4F"/>
    <w:pPr>
      <w:spacing w:after="0" w:line="240" w:lineRule="auto"/>
      <w:ind w:left="720"/>
    </w:pPr>
  </w:style>
  <w:style w:type="table" w:customStyle="1" w:styleId="Grilledutableau1">
    <w:name w:val="Grille du tableau1"/>
    <w:basedOn w:val="TableauNormal"/>
    <w:next w:val="Grilledutableau"/>
    <w:uiPriority w:val="39"/>
    <w:rsid w:val="004E1EE2"/>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E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E67D5"/>
    <w:pPr>
      <w:tabs>
        <w:tab w:val="center" w:pos="4536"/>
        <w:tab w:val="right" w:pos="9072"/>
      </w:tabs>
      <w:spacing w:after="0" w:line="240" w:lineRule="auto"/>
    </w:pPr>
  </w:style>
  <w:style w:type="character" w:customStyle="1" w:styleId="En-tteCar">
    <w:name w:val="En-tête Car"/>
    <w:basedOn w:val="Policepardfaut"/>
    <w:link w:val="En-tte"/>
    <w:uiPriority w:val="99"/>
    <w:rsid w:val="00FE67D5"/>
  </w:style>
  <w:style w:type="paragraph" w:styleId="Pieddepage">
    <w:name w:val="footer"/>
    <w:basedOn w:val="Normal"/>
    <w:link w:val="PieddepageCar"/>
    <w:uiPriority w:val="99"/>
    <w:unhideWhenUsed/>
    <w:rsid w:val="00FE67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67086">
      <w:bodyDiv w:val="1"/>
      <w:marLeft w:val="0"/>
      <w:marRight w:val="0"/>
      <w:marTop w:val="0"/>
      <w:marBottom w:val="0"/>
      <w:divBdr>
        <w:top w:val="none" w:sz="0" w:space="0" w:color="auto"/>
        <w:left w:val="none" w:sz="0" w:space="0" w:color="auto"/>
        <w:bottom w:val="none" w:sz="0" w:space="0" w:color="auto"/>
        <w:right w:val="none" w:sz="0" w:space="0" w:color="auto"/>
      </w:divBdr>
    </w:div>
    <w:div w:id="14458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F172-E763-4ED8-8B37-4A3393A1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1960</Words>
  <Characters>10782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BROUZES</dc:creator>
  <cp:keywords/>
  <dc:description/>
  <cp:lastModifiedBy>JEROME SAVIDAN</cp:lastModifiedBy>
  <cp:revision>4</cp:revision>
  <dcterms:created xsi:type="dcterms:W3CDTF">2023-09-06T11:38:00Z</dcterms:created>
  <dcterms:modified xsi:type="dcterms:W3CDTF">2023-09-06T11:59:00Z</dcterms:modified>
</cp:coreProperties>
</file>