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1"/>
        <w:tblW w:w="15556" w:type="dxa"/>
        <w:tblInd w:w="-176" w:type="dxa"/>
        <w:tblLook w:val="04A0" w:firstRow="1" w:lastRow="0" w:firstColumn="1" w:lastColumn="0" w:noHBand="0" w:noVBand="1"/>
      </w:tblPr>
      <w:tblGrid>
        <w:gridCol w:w="3227"/>
        <w:gridCol w:w="283"/>
        <w:gridCol w:w="8647"/>
        <w:gridCol w:w="273"/>
        <w:gridCol w:w="3126"/>
      </w:tblGrid>
      <w:tr w:rsidR="008F3C91" w:rsidRPr="00134B17" w:rsidTr="00132205">
        <w:trPr>
          <w:trHeight w:hRule="exact" w:val="624"/>
        </w:trPr>
        <w:tc>
          <w:tcPr>
            <w:tcW w:w="12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C91" w:rsidRPr="00134B17" w:rsidRDefault="008F3C91" w:rsidP="00CD3F0C">
            <w:pPr>
              <w:pStyle w:val="Titre2"/>
              <w:numPr>
                <w:ilvl w:val="0"/>
                <w:numId w:val="0"/>
              </w:numPr>
              <w:ind w:left="737" w:hanging="737"/>
              <w:outlineLvl w:val="1"/>
              <w:rPr>
                <w:lang w:val="fr-FR"/>
              </w:rPr>
            </w:pPr>
            <w:bookmarkStart w:id="0" w:name="_Toc515962024"/>
            <w:r w:rsidRPr="00134B17">
              <w:rPr>
                <w:lang w:val="fr-FR"/>
              </w:rPr>
              <w:t>Modalités d’évaluation</w:t>
            </w:r>
            <w:bookmarkEnd w:id="0"/>
            <w:r>
              <w:rPr>
                <w:lang w:val="fr-FR"/>
              </w:rPr>
              <w:t xml:space="preserve"> des élèves</w:t>
            </w:r>
            <w:r w:rsidR="00CD3F0C">
              <w:rPr>
                <w:lang w:val="fr-FR"/>
              </w:rPr>
              <w:t xml:space="preserve"> (EFE)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sz w:val="17"/>
                <w:szCs w:val="17"/>
              </w:rPr>
            </w:pPr>
          </w:p>
        </w:tc>
        <w:tc>
          <w:tcPr>
            <w:tcW w:w="3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jc w:val="right"/>
              <w:rPr>
                <w:rFonts w:asciiTheme="majorHAnsi" w:hAnsiTheme="majorHAnsi" w:cs="Tahoma"/>
                <w:b/>
                <w:color w:val="FFFFFF"/>
              </w:rPr>
            </w:pPr>
            <w:r w:rsidRPr="00134B17">
              <w:rPr>
                <w:rFonts w:asciiTheme="majorHAnsi" w:hAnsiTheme="majorHAnsi" w:cs="Tahoma"/>
                <w:b/>
                <w:noProof/>
                <w:color w:val="FFFFFF"/>
                <w:lang w:eastAsia="fr-FR"/>
              </w:rPr>
              <w:drawing>
                <wp:inline distT="0" distB="0" distL="0" distR="0" wp14:anchorId="555F0B4D" wp14:editId="3A4178D7">
                  <wp:extent cx="1432800" cy="547200"/>
                  <wp:effectExtent l="0" t="0" r="0" b="5715"/>
                  <wp:docPr id="2249" name="visuel_Qualeduc_4_vio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suel_Qualeduc_4_violet.jpg"/>
                          <pic:cNvPicPr/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8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3C91" w:rsidRPr="00134B17" w:rsidTr="00132205">
        <w:trPr>
          <w:trHeight w:hRule="exact" w:val="802"/>
        </w:trPr>
        <w:tc>
          <w:tcPr>
            <w:tcW w:w="12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F3C91" w:rsidRPr="00134B17" w:rsidRDefault="008F3C91" w:rsidP="00132205">
            <w:pPr>
              <w:rPr>
                <w:rFonts w:asciiTheme="majorHAnsi" w:hAnsiTheme="majorHAnsi" w:cs="Myriad Pro"/>
                <w:color w:val="231F20"/>
                <w:sz w:val="15"/>
                <w:szCs w:val="15"/>
              </w:rPr>
            </w:pPr>
            <w:r w:rsidRPr="00D054B7">
              <w:rPr>
                <w:rFonts w:asciiTheme="majorHAnsi" w:hAnsiTheme="majorHAnsi" w:cs="Myriad Pro"/>
                <w:b/>
                <w:color w:val="231F20"/>
                <w:sz w:val="15"/>
                <w:szCs w:val="15"/>
              </w:rPr>
              <w:t>Code de l’éducation :</w:t>
            </w:r>
            <w:hyperlink r:id="rId8" w:history="1">
              <w:r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 xml:space="preserve"> art. L. 122-1-1</w:t>
              </w:r>
            </w:hyperlink>
            <w:r w:rsidRPr="00134B17">
              <w:rPr>
                <w:rFonts w:asciiTheme="majorHAnsi" w:hAnsiTheme="majorHAnsi" w:cs="Myriad Pro"/>
                <w:color w:val="231F20"/>
                <w:sz w:val="15"/>
                <w:szCs w:val="15"/>
              </w:rPr>
              <w:t xml:space="preserve">, </w:t>
            </w:r>
            <w:hyperlink r:id="rId9" w:history="1">
              <w:r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 xml:space="preserve">art. </w:t>
              </w:r>
              <w:r w:rsidRPr="00215E05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  <w:lang w:val="en-US"/>
                </w:rPr>
                <w:t>L. 311-1 à L. 311-7</w:t>
              </w:r>
            </w:hyperlink>
            <w:r w:rsidRPr="00215E05">
              <w:rPr>
                <w:rFonts w:asciiTheme="majorHAnsi" w:hAnsiTheme="majorHAnsi" w:cs="Myriad Pro"/>
                <w:color w:val="231F20"/>
                <w:sz w:val="15"/>
                <w:szCs w:val="15"/>
                <w:lang w:val="en-US"/>
              </w:rPr>
              <w:t xml:space="preserve">, </w:t>
            </w:r>
            <w:r w:rsidR="00AF6930">
              <w:fldChar w:fldCharType="begin"/>
            </w:r>
            <w:r w:rsidR="00AF6930" w:rsidRPr="00AF6930">
              <w:rPr>
                <w:lang w:val="en-US"/>
              </w:rPr>
              <w:instrText xml:space="preserve"> HYPERLINK "https://www.legifrance.gouv.fr/affichCodeArticle.do;jsessionid=F9777A3A44A3DA6BF1A9F6E39166BD79.tpdila08v_3?idArticle=LEGIARTI000006524783&amp;cidTexte=LEGITEXT000006071191" </w:instrText>
            </w:r>
            <w:r w:rsidR="00AF6930">
              <w:fldChar w:fldCharType="separate"/>
            </w:r>
            <w:r w:rsidRPr="00215E05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  <w:lang w:val="en-US"/>
              </w:rPr>
              <w:t>art. L.313-2</w:t>
            </w:r>
            <w:r w:rsidR="00AF6930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  <w:lang w:val="en-US"/>
              </w:rPr>
              <w:fldChar w:fldCharType="end"/>
            </w:r>
            <w:r w:rsidRPr="00215E05">
              <w:rPr>
                <w:rFonts w:asciiTheme="majorHAnsi" w:hAnsiTheme="majorHAnsi" w:cs="Myriad Pro"/>
                <w:color w:val="231F20"/>
                <w:sz w:val="15"/>
                <w:szCs w:val="15"/>
                <w:lang w:val="en-US"/>
              </w:rPr>
              <w:t xml:space="preserve">, </w:t>
            </w:r>
            <w:r w:rsidR="00AF6930">
              <w:fldChar w:fldCharType="begin"/>
            </w:r>
            <w:r w:rsidR="00AF6930" w:rsidRPr="00AF6930">
              <w:rPr>
                <w:lang w:val="en-US"/>
              </w:rPr>
              <w:instrText xml:space="preserve"> HYPERLINK "https://www.legifrance.gouv.fr/affichCode.do?</w:instrText>
            </w:r>
            <w:r w:rsidR="00AF6930" w:rsidRPr="00AF6930">
              <w:rPr>
                <w:lang w:val="en-US"/>
              </w:rPr>
              <w:instrText xml:space="preserve">idSectionTA=LEGISCTA000006182410&amp;cidTexte=LEGITEXT000006071191" </w:instrText>
            </w:r>
            <w:r w:rsidR="00AF6930">
              <w:fldChar w:fldCharType="separate"/>
            </w:r>
            <w:r w:rsidRPr="00215E05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  <w:lang w:val="en-US"/>
              </w:rPr>
              <w:t>art. L. 331-1 à L. 331-5</w:t>
            </w:r>
            <w:r w:rsidR="00AF6930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  <w:lang w:val="en-US"/>
              </w:rPr>
              <w:fldChar w:fldCharType="end"/>
            </w:r>
            <w:r w:rsidRPr="00215E05">
              <w:rPr>
                <w:rFonts w:asciiTheme="majorHAnsi" w:hAnsiTheme="majorHAnsi" w:cs="Myriad Pro"/>
                <w:color w:val="231F20"/>
                <w:sz w:val="15"/>
                <w:szCs w:val="15"/>
                <w:lang w:val="en-US"/>
              </w:rPr>
              <w:t xml:space="preserve">, </w:t>
            </w:r>
            <w:r w:rsidR="00AF6930">
              <w:fldChar w:fldCharType="begin"/>
            </w:r>
            <w:r w:rsidR="00AF6930" w:rsidRPr="00AF6930">
              <w:rPr>
                <w:lang w:val="en-US"/>
              </w:rPr>
              <w:instrText xml:space="preserve"> HYPERLINK "https://www.legifrance.gouv.fr/affichCodeArticle.do?idArticle=LEGIARTI000029783145&amp;cidTexte=LEGITEXT000006071191" </w:instrText>
            </w:r>
            <w:r w:rsidR="00AF6930">
              <w:fldChar w:fldCharType="separate"/>
            </w:r>
            <w:r w:rsidRPr="00215E05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  <w:lang w:val="en-US"/>
              </w:rPr>
              <w:t>art. D. 331-25</w:t>
            </w:r>
            <w:r w:rsidR="00AF6930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  <w:lang w:val="en-US"/>
              </w:rPr>
              <w:fldChar w:fldCharType="end"/>
            </w:r>
            <w:r w:rsidRPr="00215E05">
              <w:rPr>
                <w:rFonts w:asciiTheme="majorHAnsi" w:hAnsiTheme="majorHAnsi" w:cs="Myriad Pro"/>
                <w:color w:val="231F20"/>
                <w:sz w:val="15"/>
                <w:szCs w:val="15"/>
                <w:lang w:val="en-US"/>
              </w:rPr>
              <w:t xml:space="preserve">, </w:t>
            </w:r>
            <w:r w:rsidR="00AF6930">
              <w:fldChar w:fldCharType="begin"/>
            </w:r>
            <w:r w:rsidR="00AF6930" w:rsidRPr="00AF6930">
              <w:rPr>
                <w:lang w:val="en-US"/>
              </w:rPr>
              <w:instrText xml:space="preserve"> HYPERLINK "https:</w:instrText>
            </w:r>
            <w:r w:rsidR="00AF6930" w:rsidRPr="00AF6930">
              <w:rPr>
                <w:lang w:val="en-US"/>
              </w:rPr>
              <w:instrText xml:space="preserve">//www.legifrance.gouv.fr/affichCode.do;jsessionid=80DF2B3F491A66614ED5A650B32CB503.tpdila22v_3?idSectionTA=LEGISCTA000006166605&amp;cidTexte=LEGITEXT000006071191" </w:instrText>
            </w:r>
            <w:r w:rsidR="00AF6930">
              <w:fldChar w:fldCharType="separate"/>
            </w:r>
            <w:r w:rsidRPr="00215E05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  <w:lang w:val="en-US"/>
              </w:rPr>
              <w:t xml:space="preserve">art. </w:t>
            </w:r>
            <w:r w:rsidRPr="00134B17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</w:rPr>
              <w:t>L. 333-1 à L.333-4</w:t>
            </w:r>
            <w:r w:rsidR="00AF6930">
              <w:rPr>
                <w:rFonts w:asciiTheme="majorHAnsi" w:hAnsiTheme="majorHAnsi" w:cs="Myriad Pro"/>
                <w:color w:val="0000FF"/>
                <w:sz w:val="15"/>
                <w:szCs w:val="15"/>
                <w:u w:val="single"/>
              </w:rPr>
              <w:fldChar w:fldCharType="end"/>
            </w:r>
            <w:r w:rsidRPr="00134B17">
              <w:rPr>
                <w:rFonts w:asciiTheme="majorHAnsi" w:hAnsiTheme="majorHAnsi" w:cs="Myriad Pro"/>
                <w:color w:val="231F20"/>
                <w:sz w:val="15"/>
                <w:szCs w:val="15"/>
              </w:rPr>
              <w:t xml:space="preserve">, </w:t>
            </w:r>
            <w:hyperlink r:id="rId10" w:history="1">
              <w:r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>art L. 335-1 à L. 335-17</w:t>
              </w:r>
            </w:hyperlink>
            <w:r w:rsidRPr="00134B17">
              <w:rPr>
                <w:rFonts w:asciiTheme="majorHAnsi" w:hAnsiTheme="majorHAnsi" w:cs="Myriad Pro"/>
                <w:color w:val="231F20"/>
                <w:sz w:val="15"/>
                <w:szCs w:val="15"/>
              </w:rPr>
              <w:t xml:space="preserve">, </w:t>
            </w:r>
            <w:hyperlink r:id="rId11" w:history="1">
              <w:r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>art. D. 122-1 à D. 122-3</w:t>
              </w:r>
            </w:hyperlink>
            <w:r w:rsidRPr="00134B17">
              <w:rPr>
                <w:rFonts w:asciiTheme="majorHAnsi" w:hAnsiTheme="majorHAnsi" w:cs="Myriad Pro"/>
                <w:color w:val="231F20"/>
                <w:sz w:val="15"/>
                <w:szCs w:val="15"/>
                <w:u w:val="single"/>
              </w:rPr>
              <w:t>,</w:t>
            </w:r>
            <w:r w:rsidRPr="00134B17">
              <w:rPr>
                <w:rFonts w:asciiTheme="majorHAnsi" w:hAnsiTheme="majorHAnsi" w:cs="Myriad Pro"/>
                <w:color w:val="231F20"/>
                <w:sz w:val="15"/>
                <w:szCs w:val="15"/>
              </w:rPr>
              <w:t xml:space="preserve"> </w:t>
            </w:r>
            <w:r w:rsidRPr="00134B17">
              <w:rPr>
                <w:rFonts w:asciiTheme="majorHAnsi" w:hAnsiTheme="majorHAnsi" w:cs="Myriad Pro"/>
                <w:bCs/>
                <w:color w:val="231F20"/>
                <w:sz w:val="15"/>
                <w:szCs w:val="15"/>
              </w:rPr>
              <w:t>(socle commun de connaissances, de compétences et de culture),</w:t>
            </w:r>
            <w:r w:rsidRPr="00134B17">
              <w:rPr>
                <w:rFonts w:asciiTheme="majorHAnsi" w:hAnsiTheme="majorHAnsi" w:cs="Myriad Pro"/>
                <w:color w:val="231F20"/>
                <w:sz w:val="15"/>
                <w:szCs w:val="15"/>
              </w:rPr>
              <w:t xml:space="preserve"> </w:t>
            </w:r>
            <w:hyperlink r:id="rId12" w:history="1">
              <w:r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>art. D. 337-5 à D. 337-20</w:t>
              </w:r>
            </w:hyperlink>
            <w:r w:rsidRPr="00134B17">
              <w:rPr>
                <w:rFonts w:asciiTheme="majorHAnsi" w:hAnsiTheme="majorHAnsi" w:cs="Myriad Pro"/>
                <w:color w:val="231F20"/>
                <w:sz w:val="15"/>
                <w:szCs w:val="15"/>
              </w:rPr>
              <w:t xml:space="preserve">, </w:t>
            </w:r>
            <w:hyperlink r:id="rId13" w:history="1">
              <w:r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>art. R. 421-49</w:t>
              </w:r>
            </w:hyperlink>
            <w:r w:rsidRPr="00134B17">
              <w:rPr>
                <w:rFonts w:asciiTheme="majorHAnsi" w:hAnsiTheme="majorHAnsi" w:cs="Myriad Pro"/>
                <w:color w:val="231F20"/>
                <w:sz w:val="15"/>
                <w:szCs w:val="15"/>
              </w:rPr>
              <w:t>.</w:t>
            </w:r>
          </w:p>
          <w:p w:rsidR="008F3C91" w:rsidRPr="00134B17" w:rsidRDefault="00AF6930" w:rsidP="00132205">
            <w:pPr>
              <w:rPr>
                <w:rFonts w:asciiTheme="majorHAnsi" w:hAnsiTheme="majorHAnsi" w:cs="Tahoma"/>
                <w:sz w:val="16"/>
                <w:szCs w:val="16"/>
              </w:rPr>
            </w:pPr>
            <w:hyperlink r:id="rId14" w:history="1">
              <w:r w:rsidR="008F3C91"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>Arrêté du 31-12-2015</w:t>
              </w:r>
            </w:hyperlink>
            <w:r w:rsidR="008F3C91" w:rsidRPr="00134B17">
              <w:rPr>
                <w:rFonts w:asciiTheme="majorHAnsi" w:hAnsiTheme="majorHAnsi" w:cs="Myriad Pro"/>
                <w:bCs/>
                <w:color w:val="231F20"/>
                <w:sz w:val="15"/>
                <w:szCs w:val="15"/>
              </w:rPr>
              <w:t xml:space="preserve"> (vie scolaire : contenu du livret scolaire de l'école élémentaire et du collège), </w:t>
            </w:r>
            <w:hyperlink r:id="rId15" w:history="1">
              <w:r w:rsidR="008F3C91"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 xml:space="preserve">arrêté </w:t>
              </w:r>
              <w:r w:rsidR="008F3C91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 xml:space="preserve">modifié </w:t>
              </w:r>
              <w:r w:rsidR="008F3C91"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>du</w:t>
              </w:r>
              <w:r w:rsidR="008F3C91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 xml:space="preserve"> </w:t>
              </w:r>
              <w:r w:rsidR="008F3C91" w:rsidRPr="00134B17">
                <w:rPr>
                  <w:rFonts w:asciiTheme="majorHAnsi" w:hAnsiTheme="majorHAnsi" w:cs="Myriad Pro"/>
                  <w:color w:val="0000FF"/>
                  <w:sz w:val="15"/>
                  <w:szCs w:val="15"/>
                  <w:u w:val="single"/>
                </w:rPr>
                <w:t xml:space="preserve"> 31-12-2015</w:t>
              </w:r>
            </w:hyperlink>
            <w:r w:rsidR="008F3C91" w:rsidRPr="00134B17">
              <w:rPr>
                <w:rFonts w:asciiTheme="majorHAnsi" w:hAnsiTheme="majorHAnsi" w:cs="Myriad Pro"/>
                <w:bCs/>
                <w:color w:val="231F20"/>
                <w:sz w:val="15"/>
                <w:szCs w:val="15"/>
              </w:rPr>
              <w:t xml:space="preserve"> (diplôme national du brevet : modalités d'attribution)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sz w:val="17"/>
                <w:szCs w:val="17"/>
              </w:rPr>
            </w:pPr>
          </w:p>
        </w:tc>
        <w:tc>
          <w:tcPr>
            <w:tcW w:w="3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jc w:val="right"/>
              <w:rPr>
                <w:rFonts w:asciiTheme="majorHAnsi" w:hAnsiTheme="majorHAnsi" w:cs="Tahoma"/>
                <w:b/>
                <w:color w:val="FFFFFF"/>
              </w:rPr>
            </w:pPr>
          </w:p>
        </w:tc>
      </w:tr>
      <w:tr w:rsidR="008F3C91" w:rsidRPr="00134B17" w:rsidTr="00132205">
        <w:trPr>
          <w:trHeight w:val="80"/>
        </w:trPr>
        <w:tc>
          <w:tcPr>
            <w:tcW w:w="3227" w:type="dxa"/>
            <w:tcBorders>
              <w:top w:val="nil"/>
              <w:left w:val="nil"/>
              <w:bottom w:val="single" w:sz="24" w:space="0" w:color="951B81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b/>
                <w:color w:val="FFFFFF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sz w:val="8"/>
                <w:szCs w:val="8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24" w:space="0" w:color="2AAC66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b/>
                <w:color w:val="FFFFFF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sz w:val="8"/>
                <w:szCs w:val="8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single" w:sz="24" w:space="0" w:color="EE7444"/>
              <w:right w:val="nil"/>
            </w:tcBorders>
            <w:shd w:val="clear" w:color="auto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b/>
                <w:color w:val="FFFFFF"/>
                <w:sz w:val="8"/>
                <w:szCs w:val="8"/>
              </w:rPr>
            </w:pPr>
          </w:p>
        </w:tc>
      </w:tr>
      <w:tr w:rsidR="008F3C91" w:rsidRPr="00134B17" w:rsidTr="00132205">
        <w:trPr>
          <w:trHeight w:hRule="exact" w:val="573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  <w:shd w:val="pct20" w:color="951B81" w:fill="auto"/>
          </w:tcPr>
          <w:p w:rsidR="008F3C91" w:rsidRPr="00134B17" w:rsidRDefault="008F3C91" w:rsidP="00132205">
            <w:pPr>
              <w:ind w:right="-108"/>
              <w:rPr>
                <w:rFonts w:asciiTheme="majorHAnsi" w:hAnsiTheme="majorHAnsi" w:cs="Tahoma"/>
                <w:color w:val="951B81"/>
                <w:sz w:val="16"/>
                <w:szCs w:val="16"/>
              </w:rPr>
            </w:pPr>
            <w:r w:rsidRPr="00134B17">
              <w:rPr>
                <w:rFonts w:asciiTheme="majorHAnsi" w:hAnsiTheme="majorHAnsi" w:cs="Tahoma"/>
                <w:b/>
                <w:color w:val="951B81"/>
                <w:sz w:val="44"/>
                <w:szCs w:val="44"/>
              </w:rPr>
              <w:t>Plan</w:t>
            </w:r>
            <w:r w:rsidRPr="00134B17">
              <w:rPr>
                <w:rFonts w:asciiTheme="majorHAnsi" w:hAnsiTheme="majorHAnsi" w:cs="Tahoma"/>
                <w:b/>
                <w:color w:val="951B81"/>
              </w:rPr>
              <w:t xml:space="preserve"> </w:t>
            </w:r>
            <w:r w:rsidRPr="00134B17">
              <w:rPr>
                <w:rFonts w:asciiTheme="majorHAnsi" w:hAnsiTheme="majorHAnsi" w:cs="Tahoma"/>
                <w:color w:val="951B81"/>
              </w:rPr>
              <w:t>Planifier</w:t>
            </w: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8F3C91" w:rsidRPr="00134B17" w:rsidRDefault="008F3C91" w:rsidP="00132205">
            <w:pPr>
              <w:rPr>
                <w:rFonts w:asciiTheme="majorHAnsi" w:hAnsiTheme="majorHAnsi" w:cs="Tahoma"/>
                <w:sz w:val="17"/>
                <w:szCs w:val="17"/>
              </w:rPr>
            </w:pPr>
          </w:p>
        </w:tc>
        <w:tc>
          <w:tcPr>
            <w:tcW w:w="8647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  <w:shd w:val="pct20" w:color="2AAC66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color w:val="2AAC66"/>
                <w:sz w:val="16"/>
                <w:szCs w:val="16"/>
              </w:rPr>
            </w:pPr>
            <w:r w:rsidRPr="00134B17">
              <w:rPr>
                <w:rFonts w:asciiTheme="majorHAnsi" w:hAnsiTheme="majorHAnsi" w:cs="Tahoma"/>
                <w:b/>
                <w:color w:val="2AAC66"/>
                <w:sz w:val="44"/>
                <w:szCs w:val="44"/>
              </w:rPr>
              <w:t>Do</w:t>
            </w:r>
            <w:r w:rsidRPr="00134B17">
              <w:rPr>
                <w:rFonts w:asciiTheme="majorHAnsi" w:hAnsiTheme="majorHAnsi" w:cs="Tahoma"/>
                <w:b/>
                <w:color w:val="2AAC66"/>
              </w:rPr>
              <w:t xml:space="preserve"> </w:t>
            </w:r>
            <w:r w:rsidRPr="00134B17">
              <w:rPr>
                <w:rFonts w:asciiTheme="majorHAnsi" w:hAnsiTheme="majorHAnsi" w:cs="Tahoma"/>
                <w:b/>
                <w:color w:val="2AAC66"/>
                <w:sz w:val="16"/>
                <w:szCs w:val="16"/>
              </w:rPr>
              <w:t xml:space="preserve"> </w:t>
            </w:r>
            <w:r w:rsidRPr="00D91313">
              <w:rPr>
                <w:rFonts w:asciiTheme="majorHAnsi" w:hAnsiTheme="majorHAnsi" w:cs="Tahoma"/>
                <w:color w:val="2AAC66"/>
              </w:rPr>
              <w:t>Mettre en œuvre</w:t>
            </w:r>
          </w:p>
        </w:tc>
        <w:tc>
          <w:tcPr>
            <w:tcW w:w="27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8F3C91" w:rsidRPr="00134B17" w:rsidRDefault="008F3C91" w:rsidP="00132205">
            <w:pPr>
              <w:rPr>
                <w:rFonts w:asciiTheme="majorHAnsi" w:hAnsiTheme="majorHAnsi" w:cs="Tahoma"/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  <w:shd w:val="pct20" w:color="EE7444" w:fill="auto"/>
          </w:tcPr>
          <w:p w:rsidR="008F3C91" w:rsidRPr="00134B17" w:rsidRDefault="008F3C91" w:rsidP="00132205">
            <w:pPr>
              <w:rPr>
                <w:rFonts w:asciiTheme="majorHAnsi" w:hAnsiTheme="majorHAnsi" w:cs="Tahoma"/>
                <w:b/>
                <w:color w:val="FFFFFF"/>
                <w:sz w:val="44"/>
                <w:szCs w:val="44"/>
              </w:rPr>
            </w:pPr>
            <w:r w:rsidRPr="00134B17">
              <w:rPr>
                <w:rFonts w:asciiTheme="majorHAnsi" w:hAnsiTheme="majorHAnsi" w:cs="Tahoma"/>
                <w:b/>
                <w:color w:val="EE7444"/>
                <w:sz w:val="44"/>
                <w:szCs w:val="44"/>
              </w:rPr>
              <w:t xml:space="preserve">Check </w:t>
            </w:r>
            <w:r w:rsidRPr="00D91313">
              <w:rPr>
                <w:rFonts w:asciiTheme="majorHAnsi" w:hAnsiTheme="majorHAnsi" w:cs="Tahoma"/>
                <w:color w:val="EE7444"/>
              </w:rPr>
              <w:t>Evaluer</w:t>
            </w:r>
          </w:p>
        </w:tc>
      </w:tr>
      <w:tr w:rsidR="008F3C91" w:rsidRPr="00DA0061" w:rsidTr="0097103E">
        <w:trPr>
          <w:trHeight w:hRule="exact" w:val="7878"/>
        </w:trPr>
        <w:tc>
          <w:tcPr>
            <w:tcW w:w="3227" w:type="dxa"/>
            <w:tcBorders>
              <w:top w:val="single" w:sz="24" w:space="0" w:color="951B81"/>
              <w:left w:val="single" w:sz="24" w:space="0" w:color="951B81"/>
              <w:bottom w:val="single" w:sz="24" w:space="0" w:color="951B81"/>
              <w:right w:val="single" w:sz="24" w:space="0" w:color="951B81"/>
            </w:tcBorders>
          </w:tcPr>
          <w:p w:rsidR="008F3C91" w:rsidRPr="00134B17" w:rsidRDefault="008F3C91" w:rsidP="00132205">
            <w:pPr>
              <w:ind w:left="186" w:hanging="186"/>
              <w:rPr>
                <w:rFonts w:asciiTheme="majorHAnsi" w:hAnsiTheme="majorHAnsi" w:cs="Tahoma"/>
                <w:b/>
                <w:color w:val="951B81"/>
              </w:rPr>
            </w:pPr>
            <w:r w:rsidRPr="00134B17">
              <w:rPr>
                <w:rFonts w:asciiTheme="majorHAnsi" w:hAnsiTheme="majorHAnsi" w:cs="Tahoma"/>
                <w:b/>
                <w:color w:val="951B81"/>
              </w:rPr>
              <w:t>Contexte, stratégie, sens, objectifs</w:t>
            </w:r>
          </w:p>
          <w:p w:rsidR="008F3C91" w:rsidRPr="00134B17" w:rsidRDefault="008F3C91" w:rsidP="00132205">
            <w:pPr>
              <w:ind w:left="186" w:hanging="186"/>
              <w:rPr>
                <w:rFonts w:asciiTheme="majorHAnsi" w:hAnsiTheme="majorHAnsi" w:cs="Tahoma"/>
                <w:b/>
                <w:sz w:val="17"/>
                <w:szCs w:val="17"/>
              </w:rPr>
            </w:pPr>
          </w:p>
          <w:p w:rsidR="008F3C91" w:rsidRPr="0097103E" w:rsidRDefault="008F3C91" w:rsidP="00132205">
            <w:pPr>
              <w:widowControl w:val="0"/>
              <w:tabs>
                <w:tab w:val="left" w:pos="34"/>
              </w:tabs>
              <w:ind w:left="34" w:right="172"/>
              <w:jc w:val="both"/>
              <w:rPr>
                <w:rFonts w:ascii="Calibri" w:hAnsi="Calibri"/>
                <w:b/>
                <w:sz w:val="18"/>
                <w:szCs w:val="17"/>
              </w:rPr>
            </w:pPr>
            <w:r w:rsidRPr="0097103E">
              <w:rPr>
                <w:rFonts w:ascii="Calibri" w:hAnsi="Calibri"/>
                <w:b/>
                <w:sz w:val="18"/>
                <w:szCs w:val="17"/>
              </w:rPr>
              <w:t>Cadre, objectifs, sens dans la démarche</w:t>
            </w:r>
          </w:p>
          <w:p w:rsidR="008F3C91" w:rsidRPr="0097103E" w:rsidRDefault="008F3C91" w:rsidP="00132205">
            <w:pPr>
              <w:widowControl w:val="0"/>
              <w:tabs>
                <w:tab w:val="left" w:pos="34"/>
              </w:tabs>
              <w:ind w:left="34" w:right="172"/>
              <w:jc w:val="both"/>
              <w:rPr>
                <w:rFonts w:ascii="Calibri" w:hAnsi="Calibri"/>
                <w:b/>
                <w:sz w:val="18"/>
                <w:szCs w:val="17"/>
              </w:rPr>
            </w:pPr>
          </w:p>
          <w:p w:rsidR="008F3C91" w:rsidRPr="0097103E" w:rsidRDefault="008F3C91" w:rsidP="00132205">
            <w:pPr>
              <w:widowControl w:val="0"/>
              <w:ind w:right="172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Quel est le lien établi entre les pratiques pédagogiques, les pratiques d’évaluation et la réussite des élèves ?</w:t>
            </w:r>
          </w:p>
          <w:p w:rsidR="008F3C91" w:rsidRPr="0097103E" w:rsidRDefault="008F3C91" w:rsidP="00132205">
            <w:pPr>
              <w:widowControl w:val="0"/>
              <w:ind w:right="172"/>
              <w:rPr>
                <w:rFonts w:ascii="Calibri" w:hAnsi="Calibri"/>
                <w:sz w:val="18"/>
                <w:szCs w:val="17"/>
              </w:rPr>
            </w:pPr>
          </w:p>
          <w:p w:rsidR="008F3C91" w:rsidRPr="00135B04" w:rsidRDefault="008F3C91" w:rsidP="00132205">
            <w:pPr>
              <w:widowControl w:val="0"/>
              <w:ind w:right="172"/>
              <w:rPr>
                <w:rFonts w:asciiTheme="majorHAnsi" w:hAnsiTheme="majorHAnsi"/>
                <w:sz w:val="17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Comment les modalités d’évaluation sont-elles intégrées au projet d’école  / d’établissement ?</w:t>
            </w:r>
          </w:p>
        </w:tc>
        <w:tc>
          <w:tcPr>
            <w:tcW w:w="283" w:type="dxa"/>
            <w:tcBorders>
              <w:top w:val="nil"/>
              <w:left w:val="single" w:sz="24" w:space="0" w:color="951B81"/>
              <w:bottom w:val="nil"/>
              <w:right w:val="single" w:sz="24" w:space="0" w:color="2AAC66"/>
            </w:tcBorders>
          </w:tcPr>
          <w:p w:rsidR="008F3C91" w:rsidRPr="00134B17" w:rsidRDefault="008F3C91" w:rsidP="00132205">
            <w:pPr>
              <w:rPr>
                <w:rFonts w:asciiTheme="majorHAnsi" w:hAnsiTheme="majorHAnsi" w:cs="Tahoma"/>
                <w:sz w:val="17"/>
                <w:szCs w:val="17"/>
              </w:rPr>
            </w:pPr>
          </w:p>
        </w:tc>
        <w:tc>
          <w:tcPr>
            <w:tcW w:w="8647" w:type="dxa"/>
            <w:tcBorders>
              <w:top w:val="single" w:sz="24" w:space="0" w:color="2AAC66"/>
              <w:left w:val="single" w:sz="24" w:space="0" w:color="2AAC66"/>
              <w:bottom w:val="single" w:sz="24" w:space="0" w:color="2AAC66"/>
              <w:right w:val="single" w:sz="24" w:space="0" w:color="2AAC66"/>
            </w:tcBorders>
          </w:tcPr>
          <w:p w:rsidR="008F3C91" w:rsidRPr="00134B17" w:rsidRDefault="008F3C91" w:rsidP="00132205">
            <w:pPr>
              <w:widowControl w:val="0"/>
              <w:tabs>
                <w:tab w:val="left" w:pos="323"/>
              </w:tabs>
              <w:ind w:right="172"/>
              <w:jc w:val="both"/>
              <w:rPr>
                <w:rFonts w:asciiTheme="majorHAnsi" w:hAnsiTheme="majorHAnsi" w:cs="Tahoma"/>
                <w:b/>
                <w:color w:val="2AAC66"/>
              </w:rPr>
            </w:pPr>
            <w:r w:rsidRPr="00134B17">
              <w:rPr>
                <w:rFonts w:asciiTheme="majorHAnsi" w:hAnsiTheme="majorHAnsi" w:cs="Tahoma"/>
                <w:b/>
                <w:color w:val="2AAC66"/>
              </w:rPr>
              <w:t>Acteurs – Actions – Moyens – Temps</w:t>
            </w:r>
          </w:p>
          <w:p w:rsidR="008F3C91" w:rsidRPr="00134B17" w:rsidRDefault="008F3C91" w:rsidP="00132205">
            <w:pPr>
              <w:widowControl w:val="0"/>
              <w:tabs>
                <w:tab w:val="left" w:pos="34"/>
              </w:tabs>
              <w:ind w:left="34" w:right="172"/>
              <w:jc w:val="both"/>
              <w:rPr>
                <w:rFonts w:asciiTheme="majorHAnsi" w:hAnsiTheme="majorHAnsi"/>
                <w:b/>
                <w:sz w:val="17"/>
                <w:szCs w:val="17"/>
              </w:rPr>
            </w:pPr>
          </w:p>
          <w:p w:rsidR="008F3C91" w:rsidRPr="0097103E" w:rsidRDefault="008F3C91" w:rsidP="00132205">
            <w:pPr>
              <w:widowControl w:val="0"/>
              <w:tabs>
                <w:tab w:val="left" w:pos="34"/>
              </w:tabs>
              <w:ind w:left="34" w:right="172"/>
              <w:jc w:val="both"/>
              <w:rPr>
                <w:rFonts w:ascii="Calibri" w:hAnsi="Calibri"/>
                <w:b/>
                <w:sz w:val="18"/>
                <w:szCs w:val="17"/>
              </w:rPr>
            </w:pPr>
            <w:r w:rsidRPr="0097103E">
              <w:rPr>
                <w:rFonts w:ascii="Calibri" w:hAnsi="Calibri"/>
                <w:b/>
                <w:sz w:val="18"/>
                <w:szCs w:val="17"/>
              </w:rPr>
              <w:t xml:space="preserve">Réfléchir sur les modalités et les pratiques d’évaluation 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 xml:space="preserve">Une </w:t>
            </w:r>
            <w:proofErr w:type="spellStart"/>
            <w:r w:rsidRPr="0097103E">
              <w:rPr>
                <w:rFonts w:ascii="Calibri" w:hAnsi="Calibri"/>
                <w:sz w:val="18"/>
                <w:szCs w:val="17"/>
              </w:rPr>
              <w:t>réﬂexion</w:t>
            </w:r>
            <w:proofErr w:type="spellEnd"/>
            <w:r w:rsidRPr="0097103E">
              <w:rPr>
                <w:rFonts w:ascii="Calibri" w:hAnsi="Calibri"/>
                <w:sz w:val="18"/>
                <w:szCs w:val="17"/>
              </w:rPr>
              <w:t xml:space="preserve"> collective est-elle menée sur la mise en œuvre des différents types d’évaluation : évaluations diagnostiques, formatives, sommatives, certificatives ? Comment est mise en œuvre l’évaluation par compétences ? Des difficultés sont-elles identifiées ? 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 xml:space="preserve">Des réunions de concertation sont-elles organisées ? Comment ? Sous quelle forme ? Qui coordonne les </w:t>
            </w:r>
            <w:proofErr w:type="spellStart"/>
            <w:r w:rsidRPr="0097103E">
              <w:rPr>
                <w:rFonts w:ascii="Calibri" w:hAnsi="Calibri"/>
                <w:sz w:val="18"/>
                <w:szCs w:val="17"/>
              </w:rPr>
              <w:t>réﬂexions</w:t>
            </w:r>
            <w:proofErr w:type="spellEnd"/>
            <w:r w:rsidRPr="0097103E">
              <w:rPr>
                <w:rFonts w:ascii="Calibri" w:hAnsi="Calibri"/>
                <w:sz w:val="18"/>
                <w:szCs w:val="17"/>
              </w:rPr>
              <w:t xml:space="preserve"> menées et les actions conduites ?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Quelle est l’implication du conseil de cycles, conseils école-collège et le conseil pédagogique sur cette thématique ?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Comment les corps d’inspection et les formateurs sont-ils sollicités sur ce sujet ?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 xml:space="preserve">Des formations pour les professeurs sur les pratiques d’évaluation sont-elles mises en place dans l’établissement ? dans le plan de formation de la zone ? 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Quelles sont les pratiques d’évaluation, innovantes ou non, mises en place dans l’établissement (évaluation positive, remise en cause de la seule « notation », auto-évaluation des élèves, etc.) ?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L’établissement met-il en œuvre d’autres évaluations que celles du système éducatif français (par exemple les évaluations du pays d’accueil) ? Comment s’articulent les différentes modalités d’évaluation ?</w:t>
            </w:r>
          </w:p>
          <w:p w:rsidR="008F3C91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Les modalités liées à un projet d’accompagnement d’un élève à besoins éducatifs particuliers sont-elles prises en compte dans les modalités d’évaluation de l’élève</w:t>
            </w:r>
            <w:r w:rsidR="0097103E">
              <w:rPr>
                <w:rFonts w:ascii="Calibri" w:hAnsi="Calibri"/>
                <w:sz w:val="18"/>
                <w:szCs w:val="17"/>
              </w:rPr>
              <w:t> ?</w:t>
            </w:r>
          </w:p>
          <w:p w:rsidR="00CD3F0C" w:rsidRPr="00AF6930" w:rsidRDefault="00CD3F0C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color w:val="000000" w:themeColor="text1"/>
                <w:sz w:val="18"/>
                <w:szCs w:val="17"/>
              </w:rPr>
            </w:pPr>
            <w:r w:rsidRPr="00AF6930">
              <w:rPr>
                <w:rFonts w:ascii="Calibri" w:hAnsi="Calibri"/>
                <w:color w:val="000000" w:themeColor="text1"/>
                <w:sz w:val="18"/>
                <w:szCs w:val="17"/>
              </w:rPr>
              <w:t xml:space="preserve">Des échanges de pratiques sont-elles envisagées avec d’autres établissements ? </w:t>
            </w:r>
          </w:p>
          <w:p w:rsidR="008F3C91" w:rsidRPr="0097103E" w:rsidRDefault="008F3C91" w:rsidP="00132205">
            <w:pPr>
              <w:widowControl w:val="0"/>
              <w:ind w:right="172"/>
              <w:jc w:val="both"/>
              <w:rPr>
                <w:rFonts w:ascii="Calibri" w:hAnsi="Calibri"/>
                <w:sz w:val="18"/>
                <w:szCs w:val="17"/>
              </w:rPr>
            </w:pPr>
          </w:p>
          <w:p w:rsidR="008F3C91" w:rsidRPr="0097103E" w:rsidRDefault="008F3C91" w:rsidP="00132205">
            <w:pPr>
              <w:widowControl w:val="0"/>
              <w:ind w:right="172"/>
              <w:jc w:val="both"/>
              <w:rPr>
                <w:rFonts w:ascii="Calibri" w:hAnsi="Calibri"/>
                <w:b/>
                <w:sz w:val="18"/>
                <w:szCs w:val="17"/>
              </w:rPr>
            </w:pPr>
            <w:r w:rsidRPr="0097103E">
              <w:rPr>
                <w:rFonts w:ascii="Calibri" w:hAnsi="Calibri"/>
                <w:b/>
                <w:sz w:val="18"/>
                <w:szCs w:val="17"/>
              </w:rPr>
              <w:t>Analyser les résultats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Comment sont utilisés les résultats des évaluations pour faire évoluer les pratiques pédagogiques et le pilotage de l’établissement?</w:t>
            </w:r>
            <w:r w:rsidRPr="0097103E" w:rsidDel="000F46E4">
              <w:rPr>
                <w:rFonts w:ascii="Calibri" w:hAnsi="Calibri"/>
                <w:sz w:val="18"/>
                <w:szCs w:val="17"/>
              </w:rPr>
              <w:t xml:space="preserve"> 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tabs>
                <w:tab w:val="left" w:pos="323"/>
              </w:tabs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 xml:space="preserve"> Comment l’évaluation participe-t-elle de l’accompagnement du projet personnel de l’élève et de l’orientation de l’élève ? </w:t>
            </w:r>
          </w:p>
          <w:p w:rsidR="008F3C91" w:rsidRPr="0097103E" w:rsidRDefault="008F3C91" w:rsidP="00132205">
            <w:pPr>
              <w:widowControl w:val="0"/>
              <w:ind w:right="172"/>
              <w:jc w:val="both"/>
              <w:rPr>
                <w:rFonts w:ascii="Calibri" w:hAnsi="Calibri"/>
                <w:sz w:val="18"/>
                <w:szCs w:val="17"/>
              </w:rPr>
            </w:pPr>
          </w:p>
          <w:p w:rsidR="008F3C91" w:rsidRPr="0097103E" w:rsidRDefault="008F3C91" w:rsidP="00132205">
            <w:pPr>
              <w:widowControl w:val="0"/>
              <w:ind w:right="172"/>
              <w:jc w:val="both"/>
              <w:rPr>
                <w:rFonts w:ascii="Calibri" w:hAnsi="Calibri"/>
                <w:b/>
                <w:sz w:val="18"/>
                <w:szCs w:val="17"/>
              </w:rPr>
            </w:pPr>
            <w:r w:rsidRPr="0097103E">
              <w:rPr>
                <w:rFonts w:ascii="Calibri" w:hAnsi="Calibri"/>
                <w:b/>
                <w:sz w:val="18"/>
                <w:szCs w:val="17"/>
              </w:rPr>
              <w:t>Communiquer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jc w:val="both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Comment les résultats des évaluations de l’élève s</w:t>
            </w:r>
            <w:bookmarkStart w:id="1" w:name="_GoBack"/>
            <w:bookmarkEnd w:id="1"/>
            <w:r w:rsidRPr="0097103E">
              <w:rPr>
                <w:rFonts w:ascii="Calibri" w:hAnsi="Calibri"/>
                <w:sz w:val="18"/>
                <w:szCs w:val="17"/>
              </w:rPr>
              <w:t xml:space="preserve">ont-ils communiqués et expliqués à l’intéressé et à sa famille ? </w:t>
            </w:r>
          </w:p>
          <w:p w:rsidR="008F3C91" w:rsidRPr="00DA0061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jc w:val="both"/>
              <w:rPr>
                <w:rFonts w:asciiTheme="majorHAnsi" w:hAnsiTheme="majorHAnsi"/>
                <w:sz w:val="17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 xml:space="preserve">Comment les résultats de l’établissement sont-ils diffusés? </w:t>
            </w:r>
            <w:proofErr w:type="spellStart"/>
            <w:r w:rsidRPr="0097103E">
              <w:rPr>
                <w:rFonts w:ascii="Calibri" w:hAnsi="Calibri"/>
                <w:sz w:val="18"/>
                <w:szCs w:val="17"/>
              </w:rPr>
              <w:t>Font-ils</w:t>
            </w:r>
            <w:proofErr w:type="spellEnd"/>
            <w:r w:rsidRPr="0097103E">
              <w:rPr>
                <w:rFonts w:ascii="Calibri" w:hAnsi="Calibri"/>
                <w:sz w:val="18"/>
                <w:szCs w:val="17"/>
              </w:rPr>
              <w:t xml:space="preserve"> l’objet d’une communication ?</w:t>
            </w:r>
          </w:p>
        </w:tc>
        <w:tc>
          <w:tcPr>
            <w:tcW w:w="273" w:type="dxa"/>
            <w:tcBorders>
              <w:top w:val="nil"/>
              <w:left w:val="single" w:sz="24" w:space="0" w:color="2AAC66"/>
              <w:bottom w:val="nil"/>
              <w:right w:val="single" w:sz="24" w:space="0" w:color="EE7444"/>
            </w:tcBorders>
          </w:tcPr>
          <w:p w:rsidR="008F3C91" w:rsidRPr="00134B17" w:rsidRDefault="008F3C91" w:rsidP="00132205">
            <w:pPr>
              <w:rPr>
                <w:rFonts w:asciiTheme="majorHAnsi" w:hAnsiTheme="majorHAnsi" w:cs="Tahoma"/>
                <w:sz w:val="17"/>
                <w:szCs w:val="17"/>
              </w:rPr>
            </w:pPr>
          </w:p>
        </w:tc>
        <w:tc>
          <w:tcPr>
            <w:tcW w:w="3126" w:type="dxa"/>
            <w:tcBorders>
              <w:top w:val="single" w:sz="24" w:space="0" w:color="EE7444"/>
              <w:left w:val="single" w:sz="24" w:space="0" w:color="EE7444"/>
              <w:bottom w:val="single" w:sz="24" w:space="0" w:color="EE7444"/>
              <w:right w:val="single" w:sz="24" w:space="0" w:color="EE7444"/>
            </w:tcBorders>
          </w:tcPr>
          <w:p w:rsidR="008F3C91" w:rsidRPr="00134B17" w:rsidRDefault="008F3C91" w:rsidP="00132205">
            <w:pPr>
              <w:ind w:left="186" w:hanging="186"/>
              <w:rPr>
                <w:rFonts w:asciiTheme="majorHAnsi" w:hAnsiTheme="majorHAnsi" w:cs="Tahoma"/>
                <w:color w:val="EE7444"/>
              </w:rPr>
            </w:pPr>
            <w:r w:rsidRPr="00134B17">
              <w:rPr>
                <w:rFonts w:asciiTheme="majorHAnsi" w:hAnsiTheme="majorHAnsi" w:cs="Tahoma"/>
                <w:b/>
                <w:color w:val="EE7444"/>
              </w:rPr>
              <w:t>Exemples d’indicateurs de suivi</w:t>
            </w:r>
            <w:r w:rsidRPr="00134B17">
              <w:rPr>
                <w:rFonts w:asciiTheme="majorHAnsi" w:hAnsiTheme="majorHAnsi" w:cs="Tahoma"/>
                <w:color w:val="EE7444"/>
              </w:rPr>
              <w:t xml:space="preserve"> </w:t>
            </w:r>
          </w:p>
          <w:p w:rsidR="008F3C91" w:rsidRPr="00134B17" w:rsidRDefault="008F3C91" w:rsidP="00132205">
            <w:pPr>
              <w:ind w:left="186" w:hanging="186"/>
              <w:rPr>
                <w:rFonts w:asciiTheme="majorHAnsi" w:hAnsiTheme="majorHAnsi" w:cs="Tahoma"/>
                <w:color w:val="EE7444"/>
              </w:rPr>
            </w:pP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Pratiques innovantes d’évaluation, lesquelles ?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Appréciation des retombées en termes de résultats, de l’impact sur les pratiques pédagogiques ;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Nombre de devoirs ou évaluations communs organisés dans toutes les filières et à tous les niveaux ;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>Identification des modalités d’exploitation des résultats (existence d’un protocole) ;</w:t>
            </w:r>
          </w:p>
          <w:p w:rsidR="008F3C91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/>
                <w:sz w:val="18"/>
                <w:szCs w:val="17"/>
              </w:rPr>
            </w:pPr>
            <w:r w:rsidRPr="0097103E">
              <w:rPr>
                <w:rFonts w:ascii="Calibri" w:hAnsi="Calibri"/>
                <w:sz w:val="18"/>
                <w:szCs w:val="17"/>
              </w:rPr>
              <w:t xml:space="preserve">Pourcentage d’enseignants engagés dans une </w:t>
            </w:r>
            <w:proofErr w:type="spellStart"/>
            <w:r w:rsidRPr="0097103E">
              <w:rPr>
                <w:rFonts w:ascii="Calibri" w:hAnsi="Calibri"/>
                <w:sz w:val="18"/>
                <w:szCs w:val="17"/>
              </w:rPr>
              <w:t>réﬂexion</w:t>
            </w:r>
            <w:proofErr w:type="spellEnd"/>
            <w:r w:rsidRPr="0097103E">
              <w:rPr>
                <w:rFonts w:ascii="Calibri" w:hAnsi="Calibri"/>
                <w:sz w:val="18"/>
                <w:szCs w:val="17"/>
              </w:rPr>
              <w:t xml:space="preserve"> relative à l’évaluation ;</w:t>
            </w:r>
          </w:p>
          <w:p w:rsidR="00CD3F0C" w:rsidRPr="00AF6930" w:rsidRDefault="00CD3F0C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/>
                <w:color w:val="000000" w:themeColor="text1"/>
                <w:sz w:val="18"/>
                <w:szCs w:val="17"/>
              </w:rPr>
            </w:pPr>
            <w:r w:rsidRPr="00AF6930">
              <w:rPr>
                <w:rFonts w:ascii="Calibri" w:hAnsi="Calibri"/>
                <w:color w:val="000000" w:themeColor="text1"/>
                <w:sz w:val="18"/>
                <w:szCs w:val="17"/>
              </w:rPr>
              <w:t xml:space="preserve">Utilisation des évaluations d’un cycle sur l’autre 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 w:cs="Tahoma"/>
                <w:sz w:val="18"/>
                <w:szCs w:val="17"/>
              </w:rPr>
            </w:pPr>
            <w:r w:rsidRPr="0097103E">
              <w:rPr>
                <w:rFonts w:ascii="Calibri" w:hAnsi="Calibri" w:cs="Tahoma"/>
                <w:sz w:val="18"/>
                <w:szCs w:val="17"/>
              </w:rPr>
              <w:t>Nombre de formations en interne et en externe sur la thématique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 w:cs="Tahoma"/>
                <w:sz w:val="18"/>
                <w:szCs w:val="17"/>
              </w:rPr>
            </w:pPr>
            <w:r w:rsidRPr="0097103E">
              <w:rPr>
                <w:rFonts w:ascii="Calibri" w:hAnsi="Calibri" w:cs="Tahoma"/>
                <w:sz w:val="18"/>
                <w:szCs w:val="17"/>
              </w:rPr>
              <w:t>Temps dédié par les enseignants pour communiquer avec les familles au sujet des évaluations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 w:cs="Tahoma"/>
                <w:sz w:val="18"/>
                <w:szCs w:val="17"/>
              </w:rPr>
            </w:pPr>
            <w:r w:rsidRPr="0097103E">
              <w:rPr>
                <w:rFonts w:ascii="Calibri" w:hAnsi="Calibri" w:cs="Tahoma"/>
                <w:sz w:val="18"/>
                <w:szCs w:val="17"/>
              </w:rPr>
              <w:t>Création d’outils d’aide à l’interprétation des évaluations</w:t>
            </w:r>
          </w:p>
          <w:p w:rsidR="008F3C91" w:rsidRPr="0097103E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="Calibri" w:hAnsi="Calibri" w:cs="Tahoma"/>
                <w:sz w:val="18"/>
                <w:szCs w:val="17"/>
              </w:rPr>
            </w:pPr>
            <w:r w:rsidRPr="0097103E">
              <w:rPr>
                <w:rFonts w:ascii="Calibri" w:hAnsi="Calibri" w:cs="Tahoma"/>
                <w:sz w:val="18"/>
                <w:szCs w:val="17"/>
              </w:rPr>
              <w:t xml:space="preserve">Suivi de cohorte </w:t>
            </w:r>
          </w:p>
          <w:p w:rsidR="008F3C91" w:rsidRPr="00CD3F0C" w:rsidRDefault="008F3C91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Theme="majorHAnsi" w:hAnsiTheme="majorHAnsi" w:cs="Tahoma"/>
                <w:sz w:val="17"/>
                <w:szCs w:val="17"/>
              </w:rPr>
            </w:pPr>
            <w:r w:rsidRPr="0097103E">
              <w:rPr>
                <w:rFonts w:ascii="Calibri" w:hAnsi="Calibri" w:cs="Tahoma"/>
                <w:sz w:val="18"/>
                <w:szCs w:val="17"/>
              </w:rPr>
              <w:t>Outil, fiche de transmission (élèves à BEP)</w:t>
            </w:r>
          </w:p>
          <w:p w:rsidR="00CD3F0C" w:rsidRPr="00CD3F0C" w:rsidRDefault="00CD3F0C" w:rsidP="008F3C91">
            <w:pPr>
              <w:widowControl w:val="0"/>
              <w:numPr>
                <w:ilvl w:val="0"/>
                <w:numId w:val="1"/>
              </w:numPr>
              <w:ind w:left="284" w:right="172" w:hanging="194"/>
              <w:rPr>
                <w:rFonts w:asciiTheme="majorHAnsi" w:hAnsiTheme="majorHAns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8"/>
                <w:szCs w:val="17"/>
              </w:rPr>
              <w:t>Evolution du taux de décrocheurs</w:t>
            </w:r>
          </w:p>
          <w:p w:rsidR="00CD3F0C" w:rsidRPr="00DA0061" w:rsidRDefault="00CD3F0C" w:rsidP="00CD3F0C">
            <w:pPr>
              <w:widowControl w:val="0"/>
              <w:ind w:left="90" w:right="172"/>
              <w:rPr>
                <w:rFonts w:asciiTheme="majorHAnsi" w:hAnsiTheme="majorHAnsi" w:cs="Tahoma"/>
                <w:sz w:val="17"/>
                <w:szCs w:val="17"/>
              </w:rPr>
            </w:pPr>
          </w:p>
        </w:tc>
      </w:tr>
    </w:tbl>
    <w:p w:rsidR="00F95F6C" w:rsidRDefault="00F95F6C"/>
    <w:sectPr w:rsidR="00F95F6C" w:rsidSect="008F3C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Myriad Pro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00549"/>
    <w:multiLevelType w:val="hybridMultilevel"/>
    <w:tmpl w:val="2026C55E"/>
    <w:lvl w:ilvl="0" w:tplc="040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9968A5E8">
      <w:numFmt w:val="bullet"/>
      <w:lvlText w:val="•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2" w:tplc="278CA8C4">
      <w:numFmt w:val="bullet"/>
      <w:lvlText w:val="-"/>
      <w:lvlJc w:val="left"/>
      <w:pPr>
        <w:ind w:left="1890" w:hanging="360"/>
      </w:pPr>
      <w:rPr>
        <w:rFonts w:ascii="Calibri" w:eastAsia="Calibri" w:hAnsi="Calibri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9884A03"/>
    <w:multiLevelType w:val="hybridMultilevel"/>
    <w:tmpl w:val="07EAE14C"/>
    <w:lvl w:ilvl="0" w:tplc="AA0879EA">
      <w:start w:val="1"/>
      <w:numFmt w:val="decimal"/>
      <w:pStyle w:val="Titre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91"/>
    <w:rsid w:val="008F3C91"/>
    <w:rsid w:val="0097103E"/>
    <w:rsid w:val="00AF6930"/>
    <w:rsid w:val="00CB6A6A"/>
    <w:rsid w:val="00CD3F0C"/>
    <w:rsid w:val="00F9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9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Titre2">
    <w:name w:val="heading 2"/>
    <w:next w:val="Sansinterligne"/>
    <w:link w:val="Titre2Car"/>
    <w:uiPriority w:val="9"/>
    <w:unhideWhenUsed/>
    <w:qFormat/>
    <w:rsid w:val="008F3C91"/>
    <w:pPr>
      <w:keepNext/>
      <w:keepLines/>
      <w:numPr>
        <w:numId w:val="2"/>
      </w:numPr>
      <w:spacing w:before="80" w:after="0" w:line="240" w:lineRule="auto"/>
      <w:ind w:left="737" w:hanging="737"/>
      <w:outlineLvl w:val="1"/>
    </w:pPr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F3C91"/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8F3C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F3C9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table" w:styleId="Grilledutableau">
    <w:name w:val="Table Grid"/>
    <w:basedOn w:val="TableauNormal"/>
    <w:uiPriority w:val="59"/>
    <w:rsid w:val="008F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3C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C91"/>
    <w:rPr>
      <w:rFonts w:ascii="Tahoma" w:eastAsiaTheme="minorEastAsi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9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paragraph" w:styleId="Titre2">
    <w:name w:val="heading 2"/>
    <w:next w:val="Sansinterligne"/>
    <w:link w:val="Titre2Car"/>
    <w:uiPriority w:val="9"/>
    <w:unhideWhenUsed/>
    <w:qFormat/>
    <w:rsid w:val="008F3C91"/>
    <w:pPr>
      <w:keepNext/>
      <w:keepLines/>
      <w:numPr>
        <w:numId w:val="2"/>
      </w:numPr>
      <w:spacing w:before="80" w:after="0" w:line="240" w:lineRule="auto"/>
      <w:ind w:left="737" w:hanging="737"/>
      <w:outlineLvl w:val="1"/>
    </w:pPr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F3C91"/>
    <w:rPr>
      <w:rFonts w:ascii="Calibri" w:eastAsia="Times New Roman" w:hAnsi="Calibri" w:cs="Times New Roman"/>
      <w:b/>
      <w:bCs/>
      <w:color w:val="00B5C6"/>
      <w:sz w:val="44"/>
      <w:szCs w:val="26"/>
      <w:lang w:val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8F3C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F3C9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</w:style>
  <w:style w:type="table" w:styleId="Grilledutableau">
    <w:name w:val="Table Grid"/>
    <w:basedOn w:val="TableauNormal"/>
    <w:uiPriority w:val="59"/>
    <w:rsid w:val="008F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3C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C91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idArticle=LEGIARTI000027682636&amp;cidTexte=LEGITEXT000006071191" TargetMode="External"/><Relationship Id="rId13" Type="http://schemas.openxmlformats.org/officeDocument/2006/relationships/hyperlink" Target="https://www.legifrance.gouv.fr/affichCodeArticle.do?idArticle=LEGIARTI000018380664&amp;cidTexte=LEGITEXT000006071191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Users\Utilisateur\Pictures\qualeduc\visuel_Qualeduc_4_violet.jpg" TargetMode="External"/><Relationship Id="rId12" Type="http://schemas.openxmlformats.org/officeDocument/2006/relationships/hyperlink" Target="https://www.legifrance.gouv.fr/affichCode.do;jsessionid=80DF2B3F491A66614ED5A650B32CB503.tpdila22v_3?idSectionTA=LEGISCTA000006182527&amp;cidTexte=LEGITEXT0000060711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egifrance.gouv.fr/affichCode.do;jsessionid=FFB59D53AACC26D7CB606267D628D0BC.tpdila19v_3?idSectionTA=LEGISCTA000006166882&amp;cidTexte=LEGITEXT0000060711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affichTexte.do?cidTexte=LEGITEXT000031839812&amp;dateTexte=20180607" TargetMode="External"/><Relationship Id="rId10" Type="http://schemas.openxmlformats.org/officeDocument/2006/relationships/hyperlink" Target="https://www.legifrance.gouv.fr/affichCode.do;jsessionid=80DF2B3F491A66614ED5A650B32CB503.tpdila22v_3?idSectionTA=LEGISCTA000006166607&amp;cidTexte=LEGITEXT000006071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.do?cidTexte=LEGITEXT000006071191" TargetMode="External"/><Relationship Id="rId14" Type="http://schemas.openxmlformats.org/officeDocument/2006/relationships/hyperlink" Target="https://www.legifrance.gouv.fr/eli/arrete/2015/12/31/MENE1531425A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Annick BONNET</dc:creator>
  <cp:lastModifiedBy>Annick BONNET</cp:lastModifiedBy>
  <cp:revision>3</cp:revision>
  <dcterms:created xsi:type="dcterms:W3CDTF">2019-10-02T15:16:00Z</dcterms:created>
  <dcterms:modified xsi:type="dcterms:W3CDTF">2019-10-02T15:16:00Z</dcterms:modified>
</cp:coreProperties>
</file>